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82" w:rsidRPr="005B6DF8" w:rsidRDefault="008E3B89">
      <w:pPr>
        <w:pStyle w:val="Default"/>
        <w:rPr>
          <w:rFonts w:ascii="新細明體" w:eastAsia="新細明體" w:hAnsi="新細明體" w:cs="新細明體" w:hint="default"/>
          <w:b/>
          <w:bCs/>
          <w:sz w:val="32"/>
          <w:szCs w:val="32"/>
        </w:rPr>
      </w:pPr>
      <w:r w:rsidRPr="005B6DF8">
        <w:rPr>
          <w:rFonts w:ascii="新細明體" w:eastAsia="新細明體" w:hAnsi="新細明體" w:cs="新細明體"/>
          <w:b/>
          <w:bCs/>
          <w:sz w:val="32"/>
          <w:szCs w:val="32"/>
        </w:rPr>
        <w:t>教學建議</w:t>
      </w:r>
      <w:r w:rsidR="00466063" w:rsidRPr="005B6DF8">
        <w:rPr>
          <w:rFonts w:ascii="新細明體" w:eastAsia="新細明體" w:hAnsi="新細明體" w:cs="新細明體"/>
          <w:b/>
          <w:bCs/>
          <w:sz w:val="32"/>
          <w:szCs w:val="32"/>
        </w:rPr>
        <w:t>：容量</w:t>
      </w:r>
      <w:r w:rsidR="005B6DF8" w:rsidRPr="005B6DF8">
        <w:rPr>
          <w:rFonts w:ascii="新細明體" w:eastAsia="新細明體" w:hAnsi="新細明體" w:cs="新細明體"/>
          <w:b/>
          <w:bCs/>
          <w:sz w:val="32"/>
          <w:szCs w:val="32"/>
        </w:rPr>
        <w:t>（小學</w:t>
      </w:r>
      <w:proofErr w:type="gramStart"/>
      <w:r w:rsidR="005B6DF8" w:rsidRPr="005B6DF8">
        <w:rPr>
          <w:rFonts w:ascii="新細明體" w:eastAsia="新細明體" w:hAnsi="新細明體" w:cs="新細明體"/>
          <w:b/>
          <w:bCs/>
          <w:sz w:val="32"/>
          <w:szCs w:val="32"/>
        </w:rPr>
        <w:t>三</w:t>
      </w:r>
      <w:proofErr w:type="gramEnd"/>
      <w:r w:rsidR="005B6DF8" w:rsidRPr="005B6DF8">
        <w:rPr>
          <w:rFonts w:ascii="新細明體" w:eastAsia="新細明體" w:hAnsi="新細明體" w:cs="新細明體"/>
          <w:b/>
          <w:bCs/>
          <w:sz w:val="32"/>
          <w:szCs w:val="32"/>
        </w:rPr>
        <w:t>年級）</w:t>
      </w:r>
    </w:p>
    <w:p w:rsidR="00F30982" w:rsidRDefault="00F30982">
      <w:pPr>
        <w:pStyle w:val="Default"/>
        <w:rPr>
          <w:rFonts w:ascii="新細明體" w:eastAsia="新細明體" w:hAnsi="新細明體" w:cs="新細明體" w:hint="default"/>
          <w:sz w:val="24"/>
          <w:szCs w:val="24"/>
        </w:rPr>
      </w:pPr>
    </w:p>
    <w:p w:rsidR="005B6DF8" w:rsidRDefault="005B6DF8">
      <w:pPr>
        <w:pStyle w:val="Default"/>
        <w:rPr>
          <w:rFonts w:ascii="新細明體" w:eastAsia="新細明體" w:hAnsi="新細明體" w:cs="新細明體" w:hint="default"/>
          <w:sz w:val="24"/>
          <w:szCs w:val="24"/>
        </w:rPr>
      </w:pPr>
    </w:p>
    <w:p w:rsidR="00F30982" w:rsidRPr="00466063" w:rsidRDefault="008E3B89" w:rsidP="00466063">
      <w:pPr>
        <w:pStyle w:val="Default"/>
        <w:spacing w:after="120"/>
        <w:rPr>
          <w:rFonts w:ascii="新細明體" w:eastAsia="新細明體" w:hAnsi="新細明體" w:cs="新細明體" w:hint="default"/>
          <w:b/>
          <w:bCs/>
          <w:sz w:val="28"/>
          <w:szCs w:val="28"/>
        </w:rPr>
      </w:pPr>
      <w:r w:rsidRPr="00466063">
        <w:rPr>
          <w:rFonts w:ascii="新細明體" w:eastAsia="新細明體" w:hAnsi="新細明體" w:cs="新細明體"/>
          <w:b/>
          <w:bCs/>
          <w:sz w:val="28"/>
          <w:szCs w:val="28"/>
        </w:rPr>
        <w:t>整體發展</w:t>
      </w:r>
    </w:p>
    <w:p w:rsidR="00F30982" w:rsidRDefault="008E3B89">
      <w:pPr>
        <w:pStyle w:val="Default"/>
        <w:numPr>
          <w:ilvl w:val="0"/>
          <w:numId w:val="2"/>
        </w:numPr>
        <w:rPr>
          <w:rFonts w:ascii="新細明體" w:eastAsia="新細明體" w:hAnsi="新細明體" w:cs="新細明體" w:hint="default"/>
          <w:sz w:val="24"/>
          <w:szCs w:val="24"/>
        </w:rPr>
      </w:pPr>
      <w:r>
        <w:rPr>
          <w:rFonts w:ascii="新細明體" w:eastAsia="新細明體" w:hAnsi="新細明體" w:cs="新細明體"/>
          <w:sz w:val="24"/>
          <w:szCs w:val="24"/>
        </w:rPr>
        <w:t>本單元假設小學</w:t>
      </w:r>
      <w:proofErr w:type="gramStart"/>
      <w:r>
        <w:rPr>
          <w:rFonts w:ascii="新細明體" w:eastAsia="新細明體" w:hAnsi="新細明體" w:cs="新細明體"/>
          <w:sz w:val="24"/>
          <w:szCs w:val="24"/>
        </w:rPr>
        <w:t>三</w:t>
      </w:r>
      <w:proofErr w:type="gramEnd"/>
      <w:r>
        <w:rPr>
          <w:rFonts w:ascii="新細明體" w:eastAsia="新細明體" w:hAnsi="新細明體" w:cs="新細明體"/>
          <w:sz w:val="24"/>
          <w:szCs w:val="24"/>
        </w:rPr>
        <w:t>年級學生已經在度量範疇的其他單元（包括長度、距離和重量）的學習中</w:t>
      </w:r>
      <w:r w:rsidR="00451914">
        <w:rPr>
          <w:rFonts w:ascii="新細明體" w:eastAsia="新細明體" w:hAnsi="新細明體" w:cs="新細明體"/>
          <w:sz w:val="24"/>
          <w:szCs w:val="24"/>
        </w:rPr>
        <w:t>，</w:t>
      </w:r>
      <w:r>
        <w:rPr>
          <w:rFonts w:ascii="新細明體" w:eastAsia="新細明體" w:hAnsi="新細明體" w:cs="新細明體"/>
          <w:sz w:val="24"/>
          <w:szCs w:val="24"/>
        </w:rPr>
        <w:t>對一些基本度量概念有一定學習經驗和認識，例如：</w:t>
      </w:r>
    </w:p>
    <w:p w:rsidR="00F30982" w:rsidRDefault="008E3B89" w:rsidP="00466063">
      <w:pPr>
        <w:pStyle w:val="Default"/>
        <w:numPr>
          <w:ilvl w:val="0"/>
          <w:numId w:val="9"/>
        </w:numPr>
        <w:ind w:left="1080" w:hanging="360"/>
        <w:rPr>
          <w:rFonts w:ascii="新細明體" w:eastAsia="新細明體" w:hAnsi="新細明體" w:cs="新細明體" w:hint="default"/>
          <w:sz w:val="24"/>
          <w:szCs w:val="24"/>
        </w:rPr>
      </w:pPr>
      <w:r>
        <w:rPr>
          <w:rFonts w:ascii="新細明體" w:eastAsia="新細明體" w:hAnsi="新細明體" w:cs="新細明體"/>
          <w:sz w:val="24"/>
          <w:szCs w:val="24"/>
        </w:rPr>
        <w:t>直觀與及直接的比較</w:t>
      </w:r>
    </w:p>
    <w:p w:rsidR="00F30982" w:rsidRDefault="008E3B89" w:rsidP="00466063">
      <w:pPr>
        <w:pStyle w:val="Default"/>
        <w:numPr>
          <w:ilvl w:val="0"/>
          <w:numId w:val="9"/>
        </w:numPr>
        <w:ind w:left="1080" w:hanging="360"/>
        <w:rPr>
          <w:rFonts w:ascii="新細明體" w:eastAsia="新細明體" w:hAnsi="新細明體" w:cs="新細明體" w:hint="default"/>
          <w:sz w:val="24"/>
          <w:szCs w:val="24"/>
        </w:rPr>
      </w:pPr>
      <w:r>
        <w:rPr>
          <w:rFonts w:ascii="新細明體" w:eastAsia="新細明體" w:hAnsi="新細明體" w:cs="新細明體"/>
          <w:sz w:val="24"/>
          <w:szCs w:val="24"/>
        </w:rPr>
        <w:t>以自訂單位作比較</w:t>
      </w:r>
    </w:p>
    <w:p w:rsidR="00F30982" w:rsidRDefault="008E3B89" w:rsidP="00466063">
      <w:pPr>
        <w:pStyle w:val="Default"/>
        <w:numPr>
          <w:ilvl w:val="0"/>
          <w:numId w:val="9"/>
        </w:numPr>
        <w:ind w:left="1080" w:hanging="360"/>
        <w:rPr>
          <w:rFonts w:ascii="新細明體" w:eastAsia="新細明體" w:hAnsi="新細明體" w:cs="新細明體" w:hint="default"/>
          <w:sz w:val="24"/>
          <w:szCs w:val="24"/>
        </w:rPr>
      </w:pPr>
      <w:r>
        <w:rPr>
          <w:rFonts w:ascii="新細明體" w:eastAsia="新細明體" w:hAnsi="新細明體" w:cs="新細明體"/>
          <w:sz w:val="24"/>
          <w:szCs w:val="24"/>
        </w:rPr>
        <w:t>以公認單位作比較</w:t>
      </w:r>
    </w:p>
    <w:p w:rsidR="00F30982" w:rsidRDefault="008E3B89" w:rsidP="00466063">
      <w:pPr>
        <w:pStyle w:val="Default"/>
        <w:numPr>
          <w:ilvl w:val="0"/>
          <w:numId w:val="9"/>
        </w:numPr>
        <w:ind w:left="1080" w:hanging="360"/>
        <w:rPr>
          <w:rFonts w:ascii="新細明體" w:eastAsia="新細明體" w:hAnsi="新細明體" w:cs="新細明體" w:hint="default"/>
          <w:sz w:val="24"/>
          <w:szCs w:val="24"/>
        </w:rPr>
      </w:pPr>
      <w:r>
        <w:rPr>
          <w:rFonts w:ascii="新細明體" w:eastAsia="新細明體" w:hAnsi="新細明體" w:cs="新細明體"/>
          <w:sz w:val="24"/>
          <w:szCs w:val="24"/>
        </w:rPr>
        <w:t>選擇適當的量度工具</w:t>
      </w:r>
    </w:p>
    <w:p w:rsidR="00F30982" w:rsidRDefault="008E3B89" w:rsidP="00466063">
      <w:pPr>
        <w:pStyle w:val="Default"/>
        <w:numPr>
          <w:ilvl w:val="0"/>
          <w:numId w:val="9"/>
        </w:numPr>
        <w:ind w:left="1080" w:hanging="360"/>
        <w:rPr>
          <w:rFonts w:ascii="新細明體" w:eastAsia="新細明體" w:hAnsi="新細明體" w:cs="新細明體" w:hint="default"/>
          <w:sz w:val="24"/>
          <w:szCs w:val="24"/>
        </w:rPr>
      </w:pPr>
      <w:r>
        <w:rPr>
          <w:rFonts w:ascii="新細明體" w:eastAsia="新細明體" w:hAnsi="新細明體" w:cs="新細明體"/>
          <w:sz w:val="24"/>
          <w:szCs w:val="24"/>
        </w:rPr>
        <w:t>閲讀刻度</w:t>
      </w:r>
    </w:p>
    <w:p w:rsidR="00F30982" w:rsidRDefault="00451914" w:rsidP="00466063">
      <w:pPr>
        <w:pStyle w:val="Default"/>
        <w:ind w:left="540"/>
        <w:rPr>
          <w:rFonts w:ascii="新細明體" w:eastAsia="新細明體" w:hAnsi="新細明體" w:cs="新細明體" w:hint="default"/>
          <w:sz w:val="24"/>
          <w:szCs w:val="24"/>
        </w:rPr>
      </w:pPr>
      <w:r>
        <w:rPr>
          <w:rFonts w:ascii="新細明體" w:eastAsia="新細明體" w:hAnsi="新細明體" w:cs="新細明體"/>
          <w:sz w:val="24"/>
          <w:szCs w:val="24"/>
        </w:rPr>
        <w:t>這個單元在容量的學習方面也大致環繞這些基本概念和技巧而</w:t>
      </w:r>
      <w:r w:rsidR="008E3B89">
        <w:rPr>
          <w:rFonts w:ascii="新細明體" w:eastAsia="新細明體" w:hAnsi="新細明體" w:cs="新細明體"/>
          <w:sz w:val="24"/>
          <w:szCs w:val="24"/>
        </w:rPr>
        <w:t>發展，老師可按著學生的認知和經驗，在解釋和提問時作適當的連</w:t>
      </w:r>
      <w:proofErr w:type="gramStart"/>
      <w:r w:rsidR="008E3B89">
        <w:rPr>
          <w:rFonts w:ascii="新細明體" w:eastAsia="新細明體" w:hAnsi="新細明體" w:cs="新細明體"/>
          <w:sz w:val="24"/>
          <w:szCs w:val="24"/>
        </w:rPr>
        <w:t>繫</w:t>
      </w:r>
      <w:proofErr w:type="gramEnd"/>
      <w:r w:rsidR="008E3B89">
        <w:rPr>
          <w:rFonts w:ascii="新細明體" w:eastAsia="新細明體" w:hAnsi="新細明體" w:cs="新細明體"/>
          <w:sz w:val="24"/>
          <w:szCs w:val="24"/>
        </w:rPr>
        <w:t>。</w:t>
      </w:r>
    </w:p>
    <w:p w:rsidR="00F30982" w:rsidRDefault="008E3B89" w:rsidP="00466063">
      <w:pPr>
        <w:pStyle w:val="Default"/>
        <w:numPr>
          <w:ilvl w:val="0"/>
          <w:numId w:val="2"/>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除了作為容量的學習單元之外，本單</w:t>
      </w:r>
      <w:r w:rsidR="004B31C5">
        <w:rPr>
          <w:rFonts w:ascii="新細明體" w:eastAsia="新細明體" w:hAnsi="新細明體" w:cs="新細明體"/>
          <w:sz w:val="24"/>
          <w:szCs w:val="24"/>
        </w:rPr>
        <w:t>元</w:t>
      </w:r>
      <w:r>
        <w:rPr>
          <w:rFonts w:ascii="新細明體" w:eastAsia="新細明體" w:hAnsi="新細明體" w:cs="新細明體"/>
          <w:sz w:val="24"/>
          <w:szCs w:val="24"/>
        </w:rPr>
        <w:t>亦可視為鞏固度量概念和閲讀刻度技巧的另一學習機會。</w:t>
      </w:r>
    </w:p>
    <w:p w:rsidR="00F30982" w:rsidRDefault="008E3B89" w:rsidP="00466063">
      <w:pPr>
        <w:pStyle w:val="Default"/>
        <w:numPr>
          <w:ilvl w:val="0"/>
          <w:numId w:val="2"/>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與長度和距離（小一）相比較，容量的概念及其量度較為抽象。雖然不像重量（小二）那樣不能通過觀察（視覺）作出判斷，但因為容器的形狀不一，單看容器的大小也往往不容易正確地判定其容量</w:t>
      </w:r>
      <w:r w:rsidR="00451914">
        <w:rPr>
          <w:rFonts w:ascii="新細明體" w:eastAsia="新細明體" w:hAnsi="新細明體" w:cs="新細明體"/>
          <w:sz w:val="24"/>
          <w:szCs w:val="24"/>
        </w:rPr>
        <w:t>的多少。教學的過程中宜盡量連</w:t>
      </w:r>
      <w:proofErr w:type="gramStart"/>
      <w:r w:rsidR="00451914">
        <w:rPr>
          <w:rFonts w:ascii="新細明體" w:eastAsia="新細明體" w:hAnsi="新細明體" w:cs="新細明體"/>
          <w:sz w:val="24"/>
          <w:szCs w:val="24"/>
        </w:rPr>
        <w:t>繫</w:t>
      </w:r>
      <w:proofErr w:type="gramEnd"/>
      <w:r w:rsidR="00451914">
        <w:rPr>
          <w:rFonts w:ascii="新細明體" w:eastAsia="新細明體" w:hAnsi="新細明體" w:cs="新細明體"/>
          <w:sz w:val="24"/>
          <w:szCs w:val="24"/>
        </w:rPr>
        <w:t>學生的生活經驗，同時也要注意學生就</w:t>
      </w:r>
      <w:r>
        <w:rPr>
          <w:rFonts w:ascii="新細明體" w:eastAsia="新細明體" w:hAnsi="新細明體" w:cs="新細明體"/>
          <w:sz w:val="24"/>
          <w:szCs w:val="24"/>
        </w:rPr>
        <w:t>著直觀（視覺）所產生的誤解，例如</w:t>
      </w:r>
      <w:r w:rsidR="00451914">
        <w:rPr>
          <w:rFonts w:ascii="新細明體" w:eastAsia="新細明體" w:hAnsi="新細明體" w:cs="新細明體"/>
          <w:sz w:val="24"/>
          <w:szCs w:val="24"/>
        </w:rPr>
        <w:t>就</w:t>
      </w:r>
      <w:r>
        <w:rPr>
          <w:rFonts w:ascii="新細明體" w:eastAsia="新細明體" w:hAnsi="新細明體" w:cs="新細明體"/>
          <w:sz w:val="24"/>
          <w:szCs w:val="24"/>
        </w:rPr>
        <w:t>著單一</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維度（如容器的高度</w:t>
      </w:r>
      <w:r w:rsidR="00813B6E">
        <w:rPr>
          <w:rFonts w:ascii="新細明體" w:eastAsia="新細明體" w:hAnsi="新細明體" w:cs="新細明體"/>
          <w:sz w:val="24"/>
          <w:szCs w:val="24"/>
        </w:rPr>
        <w:t>或闊度</w:t>
      </w:r>
      <w:r>
        <w:rPr>
          <w:rFonts w:ascii="新細明體" w:eastAsia="新細明體" w:hAnsi="新細明體" w:cs="新細明體"/>
          <w:sz w:val="24"/>
          <w:szCs w:val="24"/>
        </w:rPr>
        <w:t>）以對容量產生</w:t>
      </w:r>
      <w:r w:rsidR="00813B6E">
        <w:rPr>
          <w:rFonts w:ascii="新細明體" w:eastAsia="新細明體" w:hAnsi="新細明體" w:cs="新細明體"/>
          <w:sz w:val="24"/>
          <w:szCs w:val="24"/>
        </w:rPr>
        <w:t>錯誤</w:t>
      </w:r>
      <w:r>
        <w:rPr>
          <w:rFonts w:ascii="新細明體" w:eastAsia="新細明體" w:hAnsi="新細明體" w:cs="新細明體"/>
          <w:sz w:val="24"/>
          <w:szCs w:val="24"/>
        </w:rPr>
        <w:t>的直覺猜想。</w:t>
      </w:r>
    </w:p>
    <w:p w:rsidR="00F30982" w:rsidRDefault="008E3B89" w:rsidP="00466063">
      <w:pPr>
        <w:pStyle w:val="Default"/>
        <w:numPr>
          <w:ilvl w:val="0"/>
          <w:numId w:val="2"/>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容量的概念雖然跟五年級將要學習的體積概念有一定關係，但目前不宜引入體積的說法。</w:t>
      </w:r>
    </w:p>
    <w:p w:rsidR="00F30982" w:rsidRDefault="00451914" w:rsidP="00466063">
      <w:pPr>
        <w:pStyle w:val="Default"/>
        <w:numPr>
          <w:ilvl w:val="0"/>
          <w:numId w:val="2"/>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教材</w:t>
      </w:r>
      <w:r w:rsidR="008E3B89">
        <w:rPr>
          <w:rFonts w:ascii="新細明體" w:eastAsia="新細明體" w:hAnsi="新細明體" w:cs="新細明體"/>
          <w:sz w:val="24"/>
          <w:szCs w:val="24"/>
        </w:rPr>
        <w:t>所提供教學和評估的材料，並不足以涵蓋不同學生在學習這個課程單元的所需，也無意取代其他完整的教科書或教材套設計。老師使用時還須配合學生的需要或其他慣用的教材、教科書或教具。</w:t>
      </w:r>
      <w:r w:rsidR="008E3B89" w:rsidRPr="00813B6E">
        <w:rPr>
          <w:rFonts w:ascii="新細明體" w:eastAsia="新細明體" w:hAnsi="新細明體" w:cs="新細明體"/>
          <w:sz w:val="24"/>
          <w:szCs w:val="24"/>
          <w:u w:val="single"/>
        </w:rPr>
        <w:t>而且，老師亦可按教學需要而修訂或增刪這</w:t>
      </w:r>
      <w:r>
        <w:rPr>
          <w:rFonts w:ascii="新細明體" w:eastAsia="新細明體" w:hAnsi="新細明體" w:cs="新細明體"/>
          <w:sz w:val="24"/>
          <w:szCs w:val="24"/>
          <w:u w:val="single"/>
        </w:rPr>
        <w:t>教材</w:t>
      </w:r>
      <w:r w:rsidR="008E3B89" w:rsidRPr="00813B6E">
        <w:rPr>
          <w:rFonts w:ascii="新細明體" w:eastAsia="新細明體" w:hAnsi="新細明體" w:cs="新細明體"/>
          <w:sz w:val="24"/>
          <w:szCs w:val="24"/>
          <w:u w:val="single"/>
        </w:rPr>
        <w:t>提供的某些例子或問題。</w:t>
      </w:r>
    </w:p>
    <w:p w:rsidR="00F30982" w:rsidRDefault="00F30982">
      <w:pPr>
        <w:pStyle w:val="Default"/>
        <w:rPr>
          <w:rFonts w:ascii="新細明體" w:eastAsia="新細明體" w:hAnsi="新細明體" w:cs="新細明體" w:hint="default"/>
          <w:sz w:val="24"/>
          <w:szCs w:val="24"/>
        </w:rPr>
      </w:pPr>
    </w:p>
    <w:p w:rsidR="00F30982" w:rsidRDefault="00F30982">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F30982" w:rsidRPr="005B6DF8" w:rsidRDefault="008E3B89" w:rsidP="00466063">
      <w:pPr>
        <w:pStyle w:val="Default"/>
        <w:spacing w:after="120"/>
        <w:rPr>
          <w:rFonts w:hint="default"/>
          <w:sz w:val="28"/>
          <w:szCs w:val="28"/>
        </w:rPr>
      </w:pPr>
      <w:r w:rsidRPr="005B6DF8">
        <w:rPr>
          <w:rFonts w:ascii="新細明體" w:eastAsia="新細明體" w:hAnsi="新細明體" w:cs="新細明體"/>
          <w:b/>
          <w:bCs/>
          <w:sz w:val="28"/>
          <w:szCs w:val="28"/>
        </w:rPr>
        <w:t>容量的概念</w:t>
      </w:r>
    </w:p>
    <w:p w:rsidR="00F30982" w:rsidRDefault="00451914" w:rsidP="00466063">
      <w:pPr>
        <w:pStyle w:val="Default"/>
        <w:numPr>
          <w:ilvl w:val="1"/>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容量指的是一個容器</w:t>
      </w:r>
      <w:proofErr w:type="gramStart"/>
      <w:r>
        <w:rPr>
          <w:rFonts w:ascii="新細明體" w:eastAsia="新細明體" w:hAnsi="新細明體" w:cs="新細明體"/>
          <w:sz w:val="24"/>
          <w:szCs w:val="24"/>
        </w:rPr>
        <w:t>可盛載東西</w:t>
      </w:r>
      <w:proofErr w:type="gramEnd"/>
      <w:r>
        <w:rPr>
          <w:rFonts w:ascii="新細明體" w:eastAsia="新細明體" w:hAnsi="新細明體" w:cs="新細明體"/>
          <w:sz w:val="24"/>
          <w:szCs w:val="24"/>
        </w:rPr>
        <w:t>（一般是水或其他液</w:t>
      </w:r>
      <w:r w:rsidR="008E3B89">
        <w:rPr>
          <w:rFonts w:ascii="新細明體" w:eastAsia="新細明體" w:hAnsi="新細明體" w:cs="新細明體"/>
          <w:sz w:val="24"/>
          <w:szCs w:val="24"/>
        </w:rPr>
        <w:t>體）的多少，亦即容器內可容納空間的多少，所以我們一般會考慮一個容器的容量。但是，由於一個容器所能容納的空間較為抽象，實際在操作上或現實生活的處境中都會通過該容器所盛載著有多少的水或其他液體來進行討論，所以容器的容量也很多時考慮成為該容器所能盛載液體的量，即日後五年級所指的體積。兩者有著緊密的關係，尤其在日常生活和特定的情境中，兩者常常是通用的概念。縱然如此，對三年級的學生來說，兩者的關係毋須多作解釋，也不宜引入體積的概念，在課堂討論中也須注意不宜使用</w:t>
      </w:r>
      <w:r w:rsidR="00466063"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體積</w:t>
      </w:r>
      <w:r w:rsidR="00466063"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這個字眼，說成是水的多少或水的量便可。</w:t>
      </w:r>
    </w:p>
    <w:p w:rsidR="00F30982" w:rsidRDefault="008E3B89" w:rsidP="00466063">
      <w:pPr>
        <w:pStyle w:val="Default"/>
        <w:numPr>
          <w:ilvl w:val="1"/>
          <w:numId w:val="4"/>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一般在小學三年級引入容量的概念，都會以日常生活的經驗作為開始。切入點可以是以若干個（容量）大小明顯不同的器皿（容器），向學生提問哪個器皿能盛載較多的水，藉此引導學生明白</w:t>
      </w:r>
      <w:r w:rsidR="00466063" w:rsidRPr="00466063">
        <w:rPr>
          <w:rFonts w:ascii="新細明體" w:eastAsia="新細明體" w:hAnsi="新細明體" w:cs="新細明體"/>
          <w:sz w:val="24"/>
          <w:szCs w:val="24"/>
          <w:lang w:val="en-US"/>
        </w:rPr>
        <w:t>「容量」</w:t>
      </w:r>
      <w:r>
        <w:rPr>
          <w:rFonts w:ascii="新細明體" w:eastAsia="新細明體" w:hAnsi="新細明體" w:cs="新細明體"/>
          <w:sz w:val="24"/>
          <w:szCs w:val="24"/>
        </w:rPr>
        <w:t>的意思，指的是一個容器所能容納的空間，具體是它</w:t>
      </w:r>
      <w:r>
        <w:rPr>
          <w:rFonts w:ascii="新細明體" w:eastAsia="新細明體" w:hAnsi="新細明體" w:cs="新細明體"/>
          <w:sz w:val="24"/>
          <w:szCs w:val="24"/>
        </w:rPr>
        <w:lastRenderedPageBreak/>
        <w:t>能盛載多少的水，又或它所能盛載水（或其他液體）的量。開始時可以是兩個大小明顯不同的器皿，進而按學生的情況和方便展示的器皿，討論若干個大小不同的器皿，讓學生注意器皿的容量不是表面所見器皿的</w:t>
      </w:r>
      <w:r w:rsidR="00466063" w:rsidRPr="00466063">
        <w:rPr>
          <w:rFonts w:ascii="新細明體" w:eastAsia="新細明體" w:hAnsi="新細明體" w:cs="新細明體"/>
          <w:sz w:val="24"/>
          <w:szCs w:val="24"/>
        </w:rPr>
        <w:t>「</w:t>
      </w:r>
      <w:proofErr w:type="gramStart"/>
      <w:r>
        <w:rPr>
          <w:rFonts w:ascii="新細明體" w:eastAsia="新細明體" w:hAnsi="新細明體" w:cs="新細明體"/>
          <w:sz w:val="24"/>
          <w:szCs w:val="24"/>
        </w:rPr>
        <w:t>高矮</w:t>
      </w:r>
      <w:r w:rsidR="004B31C5">
        <w:rPr>
          <w:rFonts w:ascii="新細明體" w:eastAsia="新細明體" w:hAnsi="新細明體" w:cs="新細明體"/>
          <w:sz w:val="24"/>
          <w:szCs w:val="24"/>
        </w:rPr>
        <w:t>闊</w:t>
      </w:r>
      <w:r w:rsidR="004B31C5">
        <w:rPr>
          <w:rFonts w:ascii="新細明體" w:eastAsia="新細明體" w:hAnsi="新細明體" w:cs="新細明體" w:hint="default"/>
          <w:sz w:val="24"/>
          <w:szCs w:val="24"/>
        </w:rPr>
        <w:t>窄</w:t>
      </w:r>
      <w:proofErr w:type="gramEnd"/>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w:t>
      </w:r>
    </w:p>
    <w:p w:rsidR="00F30982" w:rsidRDefault="008E3B89" w:rsidP="00466063">
      <w:pPr>
        <w:pStyle w:val="Default"/>
        <w:numPr>
          <w:ilvl w:val="1"/>
          <w:numId w:val="4"/>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這樣開展</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容量</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的概念，即是考慮一個器皿所能盛載水（或其他液體）的量，其實已開始進入</w:t>
      </w:r>
      <w:r w:rsidR="00466063" w:rsidRPr="00466063">
        <w:rPr>
          <w:rFonts w:ascii="新細明體" w:eastAsia="新細明體" w:hAnsi="新細明體" w:cs="新細明體"/>
          <w:sz w:val="24"/>
          <w:szCs w:val="24"/>
          <w:lang w:val="en-US"/>
        </w:rPr>
        <w:t>「容量」</w:t>
      </w:r>
      <w:r>
        <w:rPr>
          <w:rFonts w:ascii="新細明體" w:eastAsia="新細明體" w:hAnsi="新細明體" w:cs="新細明體"/>
          <w:sz w:val="24"/>
          <w:szCs w:val="24"/>
        </w:rPr>
        <w:t>的比較。</w:t>
      </w:r>
    </w:p>
    <w:p w:rsidR="00F30982" w:rsidRDefault="00F30982">
      <w:pPr>
        <w:pStyle w:val="Default"/>
        <w:rPr>
          <w:rFonts w:ascii="新細明體" w:eastAsia="新細明體" w:hAnsi="新細明體" w:cs="新細明體" w:hint="default"/>
          <w:sz w:val="24"/>
          <w:szCs w:val="24"/>
        </w:rPr>
      </w:pPr>
    </w:p>
    <w:p w:rsidR="00F30982" w:rsidRDefault="00F30982">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F30982" w:rsidRPr="005B6DF8" w:rsidRDefault="008E3B89" w:rsidP="00466063">
      <w:pPr>
        <w:pStyle w:val="Default"/>
        <w:spacing w:after="120"/>
        <w:rPr>
          <w:rFonts w:hint="default"/>
          <w:sz w:val="28"/>
          <w:szCs w:val="28"/>
        </w:rPr>
      </w:pPr>
      <w:r w:rsidRPr="005B6DF8">
        <w:rPr>
          <w:rFonts w:ascii="新細明體" w:eastAsia="新細明體" w:hAnsi="新細明體" w:cs="新細明體"/>
          <w:b/>
          <w:bCs/>
          <w:sz w:val="28"/>
          <w:szCs w:val="28"/>
        </w:rPr>
        <w:t>容量的比較</w:t>
      </w:r>
    </w:p>
    <w:p w:rsidR="00F30982" w:rsidRDefault="00E45C5F">
      <w:pPr>
        <w:pStyle w:val="Default"/>
        <w:numPr>
          <w:ilvl w:val="1"/>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容量的直接</w:t>
      </w:r>
      <w:r w:rsidR="008E3B89">
        <w:rPr>
          <w:rFonts w:ascii="新細明體" w:eastAsia="新細明體" w:hAnsi="新細明體" w:cs="新細明體"/>
          <w:sz w:val="24"/>
          <w:szCs w:val="24"/>
        </w:rPr>
        <w:t>比較，一方面是指直觀可以清楚判斷哪</w:t>
      </w:r>
      <w:proofErr w:type="gramStart"/>
      <w:r w:rsidR="008E3B89">
        <w:rPr>
          <w:rFonts w:ascii="新細明體" w:eastAsia="新細明體" w:hAnsi="新細明體" w:cs="新細明體"/>
          <w:sz w:val="24"/>
          <w:szCs w:val="24"/>
        </w:rPr>
        <w:t>個</w:t>
      </w:r>
      <w:proofErr w:type="gramEnd"/>
      <w:r w:rsidR="008E3B89">
        <w:rPr>
          <w:rFonts w:ascii="新細明體" w:eastAsia="新細明體" w:hAnsi="新細明體" w:cs="新細明體"/>
          <w:sz w:val="24"/>
          <w:szCs w:val="24"/>
        </w:rPr>
        <w:t>器皿的容量較大。</w:t>
      </w:r>
      <w:r>
        <w:rPr>
          <w:rFonts w:ascii="新細明體" w:eastAsia="新細明體" w:hAnsi="新細明體" w:cs="新細明體"/>
          <w:sz w:val="24"/>
          <w:szCs w:val="24"/>
        </w:rPr>
        <w:t>這可能是因為器皿（可供盛載的空間）的大小有明顯的差異，</w:t>
      </w:r>
      <w:r w:rsidR="008E3B89">
        <w:rPr>
          <w:rFonts w:ascii="新細明體" w:eastAsia="新細明體" w:hAnsi="新細明體" w:cs="新細明體"/>
          <w:sz w:val="24"/>
          <w:szCs w:val="24"/>
        </w:rPr>
        <w:t>也可以是</w:t>
      </w:r>
      <w:r>
        <w:rPr>
          <w:rFonts w:ascii="新細明體" w:eastAsia="新細明體" w:hAnsi="新細明體" w:cs="新細明體"/>
          <w:sz w:val="24"/>
          <w:szCs w:val="24"/>
        </w:rPr>
        <w:t>因器皿的形狀相關以致</w:t>
      </w:r>
      <w:r w:rsidR="008E3B89">
        <w:rPr>
          <w:rFonts w:ascii="新細明體" w:eastAsia="新細明體" w:hAnsi="新細明體" w:cs="新細明體"/>
          <w:sz w:val="24"/>
          <w:szCs w:val="24"/>
        </w:rPr>
        <w:t>容易</w:t>
      </w:r>
      <w:r>
        <w:rPr>
          <w:rFonts w:ascii="新細明體" w:eastAsia="新細明體" w:hAnsi="新細明體" w:cs="新細明體"/>
          <w:sz w:val="24"/>
          <w:szCs w:val="24"/>
        </w:rPr>
        <w:t>比較。</w:t>
      </w:r>
      <w:r w:rsidR="008E3B89">
        <w:rPr>
          <w:rFonts w:ascii="新細明體" w:eastAsia="新細明體" w:hAnsi="新細明體" w:cs="新細明體"/>
          <w:sz w:val="24"/>
          <w:szCs w:val="24"/>
        </w:rPr>
        <w:t>例如形狀簡單如圓筒形（圓柱體）的器皿，底部大小相同時就可憑高度而比較其容量，又或高度相同時就可憑底部大小而比較其容量。</w:t>
      </w:r>
    </w:p>
    <w:p w:rsidR="00F30982" w:rsidRDefault="008E3B89" w:rsidP="00466063">
      <w:pPr>
        <w:pStyle w:val="Default"/>
        <w:numPr>
          <w:ilvl w:val="1"/>
          <w:numId w:val="4"/>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另一方面，容量的</w:t>
      </w:r>
      <w:r w:rsidR="00E45C5F">
        <w:rPr>
          <w:rFonts w:ascii="新細明體" w:eastAsia="新細明體" w:hAnsi="新細明體" w:cs="新細明體"/>
          <w:sz w:val="24"/>
          <w:szCs w:val="24"/>
        </w:rPr>
        <w:t>直接</w:t>
      </w:r>
      <w:r>
        <w:rPr>
          <w:rFonts w:ascii="新細明體" w:eastAsia="新細明體" w:hAnsi="新細明體" w:cs="新細明體"/>
          <w:sz w:val="24"/>
          <w:szCs w:val="24"/>
        </w:rPr>
        <w:t>比較也可以是將注滿一個器皿的水倒進另一個器皿時，</w:t>
      </w:r>
      <w:proofErr w:type="gramStart"/>
      <w:r>
        <w:rPr>
          <w:rFonts w:ascii="新細明體" w:eastAsia="新細明體" w:hAnsi="新細明體" w:cs="新細明體"/>
          <w:sz w:val="24"/>
          <w:szCs w:val="24"/>
        </w:rPr>
        <w:t>視乎水能否</w:t>
      </w:r>
      <w:proofErr w:type="gramEnd"/>
      <w:r>
        <w:rPr>
          <w:rFonts w:ascii="新細明體" w:eastAsia="新細明體" w:hAnsi="新細明體" w:cs="新細明體"/>
          <w:sz w:val="24"/>
          <w:szCs w:val="24"/>
        </w:rPr>
        <w:t>注滿另一器皿，又或水會否溢出。雖是看似簡單的道理，教學時</w:t>
      </w:r>
      <w:r w:rsidR="00E916B2">
        <w:rPr>
          <w:rFonts w:ascii="新細明體" w:eastAsia="新細明體" w:hAnsi="新細明體" w:cs="新細明體"/>
          <w:sz w:val="24"/>
          <w:szCs w:val="24"/>
        </w:rPr>
        <w:t>卻</w:t>
      </w:r>
      <w:r>
        <w:rPr>
          <w:rFonts w:ascii="新細明體" w:eastAsia="新細明體" w:hAnsi="新細明體" w:cs="新細明體"/>
          <w:sz w:val="24"/>
          <w:szCs w:val="24"/>
        </w:rPr>
        <w:t>須確定學生掌握</w:t>
      </w:r>
      <w:r w:rsidR="001D3EE2">
        <w:rPr>
          <w:rFonts w:ascii="新細明體" w:eastAsia="新細明體" w:hAnsi="新細明體" w:cs="新細明體"/>
          <w:sz w:val="24"/>
          <w:szCs w:val="24"/>
        </w:rPr>
        <w:t>此概念</w:t>
      </w:r>
      <w:r>
        <w:rPr>
          <w:rFonts w:ascii="新細明體" w:eastAsia="新細明體" w:hAnsi="新細明體" w:cs="新細明體"/>
          <w:sz w:val="24"/>
          <w:szCs w:val="24"/>
        </w:rPr>
        <w:t>，才能再跟學生討論</w:t>
      </w:r>
      <w:r w:rsidR="001D3EE2">
        <w:rPr>
          <w:rFonts w:ascii="新細明體" w:eastAsia="新細明體" w:hAnsi="新細明體" w:cs="新細明體"/>
          <w:sz w:val="24"/>
          <w:szCs w:val="24"/>
        </w:rPr>
        <w:t>比較容量的其他</w:t>
      </w:r>
      <w:r>
        <w:rPr>
          <w:rFonts w:ascii="新細明體" w:eastAsia="新細明體" w:hAnsi="新細明體" w:cs="新細明體"/>
          <w:sz w:val="24"/>
          <w:szCs w:val="24"/>
        </w:rPr>
        <w:t>不同情況。</w:t>
      </w:r>
    </w:p>
    <w:p w:rsidR="00F30982" w:rsidRDefault="008E3B89" w:rsidP="00F43E2F">
      <w:pPr>
        <w:pStyle w:val="Default"/>
        <w:numPr>
          <w:ilvl w:val="1"/>
          <w:numId w:val="4"/>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教材</w:t>
      </w:r>
      <w:r w:rsidR="00466063" w:rsidRPr="00466063">
        <w:rPr>
          <w:rFonts w:ascii="新細明體" w:eastAsia="新細明體" w:hAnsi="新細明體" w:cs="新細明體"/>
          <w:sz w:val="24"/>
          <w:szCs w:val="24"/>
        </w:rPr>
        <w:t>《</w:t>
      </w:r>
      <w:r w:rsidR="008C592B" w:rsidRPr="008C592B">
        <w:rPr>
          <w:rFonts w:ascii="新細明體" w:eastAsia="新細明體" w:hAnsi="新細明體" w:cs="新細明體"/>
          <w:b/>
          <w:sz w:val="24"/>
          <w:szCs w:val="24"/>
        </w:rPr>
        <w:t>腦震盪</w:t>
      </w:r>
      <w:r w:rsidRPr="001D3EE2">
        <w:rPr>
          <w:rFonts w:ascii="新細明體" w:eastAsia="新細明體" w:hAnsi="新細明體" w:cs="新細明體"/>
          <w:b/>
          <w:sz w:val="24"/>
          <w:szCs w:val="24"/>
        </w:rPr>
        <w:t>問題</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工作紙</w:t>
      </w:r>
      <w:r w:rsidR="00466063" w:rsidRPr="00466063">
        <w:rPr>
          <w:rFonts w:ascii="新細明體" w:eastAsia="新細明體" w:hAnsi="新細明體" w:cs="新細明體"/>
          <w:sz w:val="24"/>
          <w:szCs w:val="24"/>
        </w:rPr>
        <w:t>》</w:t>
      </w:r>
      <w:r w:rsidR="00D200B2">
        <w:rPr>
          <w:rFonts w:ascii="新細明體" w:eastAsia="新細明體" w:hAnsi="新細明體" w:cs="新細明體"/>
          <w:sz w:val="24"/>
          <w:szCs w:val="24"/>
        </w:rPr>
        <w:t>中</w:t>
      </w:r>
      <w:r>
        <w:rPr>
          <w:rFonts w:ascii="新細明體" w:eastAsia="新細明體" w:hAnsi="新細明體" w:cs="新細明體"/>
          <w:sz w:val="24"/>
          <w:szCs w:val="24"/>
        </w:rPr>
        <w:t>（尤其是第一題）就以直接比較來處理。第二、第三題都是直接比較，但須要注意的是，正如上面提到有關容量的概念，這裡</w:t>
      </w:r>
      <w:r w:rsidR="008C592B">
        <w:rPr>
          <w:rFonts w:ascii="新細明體" w:eastAsia="新細明體" w:hAnsi="新細明體" w:cs="新細明體"/>
          <w:sz w:val="24"/>
          <w:szCs w:val="24"/>
        </w:rPr>
        <w:t>比較的</w:t>
      </w:r>
      <w:r>
        <w:rPr>
          <w:rFonts w:ascii="新細明體" w:eastAsia="新細明體" w:hAnsi="新細明體" w:cs="新細明體"/>
          <w:sz w:val="24"/>
          <w:szCs w:val="24"/>
        </w:rPr>
        <w:t>不是器皿本身的容量，而是它們</w:t>
      </w:r>
      <w:proofErr w:type="gramStart"/>
      <w:r>
        <w:rPr>
          <w:rFonts w:ascii="新細明體" w:eastAsia="新細明體" w:hAnsi="新細明體" w:cs="新細明體"/>
          <w:sz w:val="24"/>
          <w:szCs w:val="24"/>
        </w:rPr>
        <w:t>所盛載著</w:t>
      </w:r>
      <w:proofErr w:type="gramEnd"/>
      <w:r>
        <w:rPr>
          <w:rFonts w:ascii="新細明體" w:eastAsia="新細明體" w:hAnsi="新細明體" w:cs="新細明體"/>
          <w:sz w:val="24"/>
          <w:szCs w:val="24"/>
        </w:rPr>
        <w:t>的水的量。倘若老師</w:t>
      </w:r>
      <w:r w:rsidR="004440DF">
        <w:rPr>
          <w:rFonts w:ascii="新細明體" w:eastAsia="新細明體" w:hAnsi="新細明體" w:cs="新細明體"/>
          <w:sz w:val="24"/>
          <w:szCs w:val="24"/>
        </w:rPr>
        <w:t>覺得</w:t>
      </w:r>
      <w:r>
        <w:rPr>
          <w:rFonts w:ascii="新細明體" w:eastAsia="新細明體" w:hAnsi="新細明體" w:cs="新細明體"/>
          <w:sz w:val="24"/>
          <w:szCs w:val="24"/>
        </w:rPr>
        <w:t>學生掌握這個想法</w:t>
      </w:r>
      <w:r w:rsidR="004440DF">
        <w:rPr>
          <w:rFonts w:ascii="新細明體" w:eastAsia="新細明體" w:hAnsi="新細明體" w:cs="新細明體"/>
          <w:sz w:val="24"/>
          <w:szCs w:val="24"/>
        </w:rPr>
        <w:t>有困難</w:t>
      </w:r>
      <w:r>
        <w:rPr>
          <w:rFonts w:ascii="新細明體" w:eastAsia="新細明體" w:hAnsi="新細明體" w:cs="新細明體"/>
          <w:sz w:val="24"/>
          <w:szCs w:val="24"/>
        </w:rPr>
        <w:t>，這兩</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問題可以容後討論。</w:t>
      </w:r>
    </w:p>
    <w:p w:rsidR="00063C8F" w:rsidRPr="005F0C01" w:rsidRDefault="00063C8F" w:rsidP="00F43E2F">
      <w:pPr>
        <w:pStyle w:val="Default"/>
        <w:numPr>
          <w:ilvl w:val="1"/>
          <w:numId w:val="4"/>
        </w:numPr>
        <w:spacing w:before="120"/>
        <w:rPr>
          <w:rFonts w:ascii="新細明體" w:eastAsia="新細明體" w:hAnsi="新細明體" w:cs="新細明體" w:hint="default"/>
          <w:color w:val="auto"/>
          <w:sz w:val="24"/>
          <w:szCs w:val="24"/>
        </w:rPr>
      </w:pPr>
      <w:r w:rsidRPr="005F0C01">
        <w:rPr>
          <w:rFonts w:ascii="新細明體" w:eastAsia="新細明體" w:hAnsi="新細明體" w:cs="新細明體"/>
          <w:color w:val="auto"/>
          <w:sz w:val="24"/>
          <w:szCs w:val="24"/>
        </w:rPr>
        <w:t>以上《</w:t>
      </w:r>
      <w:r w:rsidRPr="005F0C01">
        <w:rPr>
          <w:rFonts w:ascii="新細明體" w:eastAsia="新細明體" w:hAnsi="新細明體" w:cs="新細明體"/>
          <w:b/>
          <w:color w:val="auto"/>
          <w:sz w:val="24"/>
          <w:szCs w:val="24"/>
        </w:rPr>
        <w:t>腦震盪問題</w:t>
      </w:r>
      <w:r w:rsidR="00F43E2F">
        <w:rPr>
          <w:rFonts w:ascii="新細明體" w:eastAsia="新細明體" w:hAnsi="新細明體" w:cs="新細明體"/>
          <w:b/>
          <w:color w:val="auto"/>
          <w:sz w:val="24"/>
          <w:szCs w:val="24"/>
          <w:lang w:eastAsia="zh-HK"/>
        </w:rPr>
        <w:t xml:space="preserve"> </w:t>
      </w:r>
      <w:r w:rsidR="00F43E2F" w:rsidRPr="00F43E2F">
        <w:rPr>
          <w:rFonts w:ascii="新細明體" w:eastAsia="新細明體" w:hAnsi="新細明體" w:cs="新細明體"/>
          <w:b/>
          <w:sz w:val="24"/>
          <w:szCs w:val="24"/>
        </w:rPr>
        <w:t>工作紙</w:t>
      </w:r>
      <w:r w:rsidRPr="005F0C01">
        <w:rPr>
          <w:rFonts w:ascii="新細明體" w:eastAsia="新細明體" w:hAnsi="新細明體" w:cs="新細明體"/>
          <w:color w:val="auto"/>
          <w:sz w:val="24"/>
          <w:szCs w:val="24"/>
        </w:rPr>
        <w:t>》提供的幾個例子可</w:t>
      </w:r>
      <w:r w:rsidR="005F0C01">
        <w:rPr>
          <w:rFonts w:ascii="新細明體" w:eastAsia="新細明體" w:hAnsi="新細明體" w:cs="新細明體"/>
          <w:color w:val="auto"/>
          <w:sz w:val="24"/>
          <w:szCs w:val="24"/>
        </w:rPr>
        <w:t>用作</w:t>
      </w:r>
      <w:r w:rsidRPr="005F0C01">
        <w:rPr>
          <w:rFonts w:ascii="新細明體" w:eastAsia="新細明體" w:hAnsi="新細明體" w:cs="新細明體"/>
          <w:color w:val="auto"/>
          <w:sz w:val="24"/>
          <w:szCs w:val="24"/>
        </w:rPr>
        <w:t>評估學生一些基本容量概念或在課堂中引發學生</w:t>
      </w:r>
      <w:r w:rsidR="005F0C01">
        <w:rPr>
          <w:rFonts w:ascii="新細明體" w:eastAsia="新細明體" w:hAnsi="新細明體" w:cs="新細明體"/>
          <w:color w:val="auto"/>
          <w:sz w:val="24"/>
          <w:szCs w:val="24"/>
        </w:rPr>
        <w:t>思考</w:t>
      </w:r>
      <w:r w:rsidRPr="005F0C01">
        <w:rPr>
          <w:rFonts w:ascii="新細明體" w:eastAsia="新細明體" w:hAnsi="新細明體" w:cs="新細明體"/>
          <w:color w:val="auto"/>
          <w:sz w:val="24"/>
          <w:szCs w:val="24"/>
        </w:rPr>
        <w:t>。除此之外，這裡還</w:t>
      </w:r>
      <w:r w:rsidR="005F0C01">
        <w:rPr>
          <w:rFonts w:ascii="新細明體" w:eastAsia="新細明體" w:hAnsi="新細明體" w:cs="新細明體"/>
          <w:color w:val="auto"/>
          <w:sz w:val="24"/>
          <w:szCs w:val="24"/>
        </w:rPr>
        <w:t>提供</w:t>
      </w:r>
      <w:r w:rsidRPr="005F0C01">
        <w:rPr>
          <w:rFonts w:ascii="新細明體" w:eastAsia="新細明體" w:hAnsi="新細明體" w:cs="新細明體"/>
          <w:color w:val="auto"/>
          <w:sz w:val="24"/>
          <w:szCs w:val="24"/>
        </w:rPr>
        <w:t>一段大約45秒的影片《</w:t>
      </w:r>
      <w:r w:rsidRPr="005F0C01">
        <w:rPr>
          <w:rFonts w:ascii="新細明體" w:eastAsia="新細明體" w:hAnsi="新細明體" w:cs="新細明體"/>
          <w:b/>
          <w:color w:val="auto"/>
          <w:sz w:val="24"/>
          <w:szCs w:val="24"/>
        </w:rPr>
        <w:t>水位不同</w:t>
      </w:r>
      <w:r w:rsidR="00F43E2F">
        <w:rPr>
          <w:rFonts w:ascii="新細明體" w:eastAsia="新細明體" w:hAnsi="新細明體" w:cs="新細明體"/>
          <w:b/>
          <w:color w:val="auto"/>
          <w:sz w:val="24"/>
          <w:szCs w:val="24"/>
          <w:lang w:eastAsia="zh-HK"/>
        </w:rPr>
        <w:t xml:space="preserve"> </w:t>
      </w:r>
      <w:r w:rsidR="00F43E2F" w:rsidRPr="00F43E2F">
        <w:rPr>
          <w:rFonts w:ascii="新細明體" w:eastAsia="新細明體" w:hAnsi="新細明體" w:cs="新細明體"/>
          <w:b/>
          <w:color w:val="auto"/>
          <w:sz w:val="24"/>
          <w:szCs w:val="24"/>
        </w:rPr>
        <w:t>影片</w:t>
      </w:r>
      <w:r w:rsidRPr="005F0C01">
        <w:rPr>
          <w:rFonts w:ascii="新細明體" w:eastAsia="新細明體" w:hAnsi="新細明體" w:cs="新細明體"/>
          <w:color w:val="auto"/>
          <w:sz w:val="24"/>
          <w:szCs w:val="24"/>
        </w:rPr>
        <w:t>》。片段展示三個形狀不大相同的瓶子，</w:t>
      </w:r>
      <w:r w:rsidR="005F0C01">
        <w:rPr>
          <w:rFonts w:ascii="新細明體" w:eastAsia="新細明體" w:hAnsi="新細明體" w:cs="新細明體"/>
          <w:color w:val="auto"/>
          <w:sz w:val="24"/>
          <w:szCs w:val="24"/>
        </w:rPr>
        <w:t>當把等量的水</w:t>
      </w:r>
      <w:r w:rsidRPr="005F0C01">
        <w:rPr>
          <w:rFonts w:ascii="新細明體" w:eastAsia="新細明體" w:hAnsi="新細明體" w:cs="新細明體"/>
          <w:color w:val="auto"/>
          <w:sz w:val="24"/>
          <w:szCs w:val="24"/>
        </w:rPr>
        <w:t>倒進去之後</w:t>
      </w:r>
      <w:r w:rsidR="005F0C01">
        <w:rPr>
          <w:rFonts w:ascii="新細明體" w:eastAsia="新細明體" w:hAnsi="新細明體" w:cs="新細明體"/>
          <w:color w:val="auto"/>
          <w:sz w:val="24"/>
          <w:szCs w:val="24"/>
        </w:rPr>
        <w:t>，會發現三者的</w:t>
      </w:r>
      <w:r w:rsidRPr="005F0C01">
        <w:rPr>
          <w:rFonts w:ascii="新細明體" w:eastAsia="新細明體" w:hAnsi="新細明體" w:cs="新細明體"/>
          <w:color w:val="auto"/>
          <w:sz w:val="24"/>
          <w:szCs w:val="24"/>
        </w:rPr>
        <w:t>水位不同。</w:t>
      </w:r>
      <w:r w:rsidR="00520695">
        <w:rPr>
          <w:rFonts w:ascii="新細明體" w:eastAsia="新細明體" w:hAnsi="新細明體" w:cs="新細明體"/>
          <w:color w:val="auto"/>
          <w:sz w:val="24"/>
          <w:szCs w:val="24"/>
        </w:rPr>
        <w:t>這</w:t>
      </w:r>
      <w:r w:rsidR="00520695" w:rsidRPr="005F0C01">
        <w:rPr>
          <w:rFonts w:ascii="新細明體" w:eastAsia="新細明體" w:hAnsi="新細明體" w:cs="新細明體"/>
          <w:color w:val="auto"/>
          <w:sz w:val="24"/>
          <w:szCs w:val="24"/>
        </w:rPr>
        <w:t>段影片</w:t>
      </w:r>
      <w:r w:rsidR="00520695">
        <w:rPr>
          <w:rFonts w:ascii="新細明體" w:eastAsia="新細明體" w:hAnsi="新細明體" w:cs="新細明體"/>
          <w:color w:val="auto"/>
          <w:sz w:val="24"/>
          <w:szCs w:val="24"/>
        </w:rPr>
        <w:t>的</w:t>
      </w:r>
      <w:r w:rsidRPr="005F0C01">
        <w:rPr>
          <w:rFonts w:ascii="新細明體" w:eastAsia="新細明體" w:hAnsi="新細明體" w:cs="新細明體"/>
          <w:color w:val="auto"/>
          <w:sz w:val="24"/>
          <w:szCs w:val="24"/>
        </w:rPr>
        <w:t>其中一個使用方法</w:t>
      </w:r>
      <w:proofErr w:type="gramStart"/>
      <w:r w:rsidR="00520695">
        <w:rPr>
          <w:rFonts w:ascii="新細明體" w:eastAsia="新細明體" w:hAnsi="新細明體" w:cs="新細明體"/>
          <w:color w:val="auto"/>
          <w:sz w:val="24"/>
          <w:szCs w:val="24"/>
        </w:rPr>
        <w:t>是</w:t>
      </w:r>
      <w:r w:rsidRPr="005F0C01">
        <w:rPr>
          <w:rFonts w:ascii="新細明體" w:eastAsia="新細明體" w:hAnsi="新細明體" w:cs="新細明體"/>
          <w:color w:val="auto"/>
          <w:sz w:val="24"/>
          <w:szCs w:val="24"/>
        </w:rPr>
        <w:t>著</w:t>
      </w:r>
      <w:proofErr w:type="gramEnd"/>
      <w:r w:rsidRPr="005F0C01">
        <w:rPr>
          <w:rFonts w:ascii="新細明體" w:eastAsia="新細明體" w:hAnsi="新細明體" w:cs="新細明體"/>
          <w:color w:val="auto"/>
          <w:sz w:val="24"/>
          <w:szCs w:val="24"/>
        </w:rPr>
        <w:t>學生由影片開始時就專心觀看，老師也毋須加入任何其他解說，最後定格在三個有着不同水位的瓶子，然後問學生：哪</w:t>
      </w:r>
      <w:proofErr w:type="gramStart"/>
      <w:r w:rsidRPr="005F0C01">
        <w:rPr>
          <w:rFonts w:ascii="新細明體" w:eastAsia="新細明體" w:hAnsi="新細明體" w:cs="新細明體"/>
          <w:color w:val="auto"/>
          <w:sz w:val="24"/>
          <w:szCs w:val="24"/>
        </w:rPr>
        <w:t>個</w:t>
      </w:r>
      <w:proofErr w:type="gramEnd"/>
      <w:r w:rsidRPr="005F0C01">
        <w:rPr>
          <w:rFonts w:ascii="新細明體" w:eastAsia="新細明體" w:hAnsi="新細明體" w:cs="新細明體"/>
          <w:color w:val="auto"/>
          <w:sz w:val="24"/>
          <w:szCs w:val="24"/>
        </w:rPr>
        <w:t>瓶子盛</w:t>
      </w:r>
      <w:r w:rsidR="007E16AC" w:rsidRPr="005F0C01">
        <w:rPr>
          <w:rFonts w:ascii="新細明體" w:eastAsia="新細明體" w:hAnsi="新細明體" w:cs="新細明體"/>
          <w:color w:val="auto"/>
          <w:sz w:val="24"/>
          <w:szCs w:val="24"/>
        </w:rPr>
        <w:t>着</w:t>
      </w:r>
      <w:r w:rsidRPr="005F0C01">
        <w:rPr>
          <w:rFonts w:ascii="新細明體" w:eastAsia="新細明體" w:hAnsi="新細明體" w:cs="新細明體"/>
          <w:color w:val="auto"/>
          <w:sz w:val="24"/>
          <w:szCs w:val="24"/>
        </w:rPr>
        <w:t>的水最多？一如前面提供</w:t>
      </w:r>
      <w:r w:rsidR="00520695">
        <w:rPr>
          <w:rFonts w:ascii="新細明體" w:eastAsia="新細明體" w:hAnsi="新細明體" w:cs="新細明體"/>
          <w:color w:val="auto"/>
          <w:sz w:val="24"/>
          <w:szCs w:val="24"/>
        </w:rPr>
        <w:t>的</w:t>
      </w:r>
      <w:r w:rsidRPr="005F0C01">
        <w:rPr>
          <w:rFonts w:ascii="新細明體" w:eastAsia="新細明體" w:hAnsi="新細明體" w:cs="新細明體"/>
          <w:color w:val="auto"/>
          <w:sz w:val="24"/>
          <w:szCs w:val="24"/>
        </w:rPr>
        <w:t>《</w:t>
      </w:r>
      <w:r w:rsidR="0098180E" w:rsidRPr="005F0C01">
        <w:rPr>
          <w:rFonts w:ascii="新細明體" w:eastAsia="新細明體" w:hAnsi="新細明體" w:cs="新細明體"/>
          <w:b/>
          <w:color w:val="auto"/>
          <w:sz w:val="24"/>
          <w:szCs w:val="24"/>
        </w:rPr>
        <w:t>腦震盪</w:t>
      </w:r>
      <w:r w:rsidRPr="005F0C01">
        <w:rPr>
          <w:rFonts w:ascii="新細明體" w:eastAsia="新細明體" w:hAnsi="新細明體" w:cs="新細明體"/>
          <w:b/>
          <w:color w:val="auto"/>
          <w:sz w:val="24"/>
          <w:szCs w:val="24"/>
        </w:rPr>
        <w:t>問題</w:t>
      </w:r>
      <w:r w:rsidR="00F43E2F">
        <w:rPr>
          <w:rFonts w:ascii="新細明體" w:eastAsia="新細明體" w:hAnsi="新細明體" w:cs="新細明體"/>
          <w:b/>
          <w:color w:val="auto"/>
          <w:sz w:val="24"/>
          <w:szCs w:val="24"/>
          <w:lang w:eastAsia="zh-HK"/>
        </w:rPr>
        <w:t xml:space="preserve"> </w:t>
      </w:r>
      <w:r w:rsidR="00F43E2F" w:rsidRPr="00F43E2F">
        <w:rPr>
          <w:rFonts w:ascii="新細明體" w:eastAsia="新細明體" w:hAnsi="新細明體" w:cs="新細明體"/>
          <w:b/>
          <w:sz w:val="24"/>
          <w:szCs w:val="24"/>
        </w:rPr>
        <w:t>工作紙</w:t>
      </w:r>
      <w:r w:rsidRPr="005F0C01">
        <w:rPr>
          <w:rFonts w:ascii="新細明體" w:eastAsia="新細明體" w:hAnsi="新細明體" w:cs="新細明體"/>
          <w:color w:val="auto"/>
          <w:sz w:val="24"/>
          <w:szCs w:val="24"/>
        </w:rPr>
        <w:t>》，這類問題都是關於容量的基本概念及其應用於倒水實驗所展現的不同情況，是我們一向假設小三學生完全明白，</w:t>
      </w:r>
      <w:r w:rsidR="00520695">
        <w:rPr>
          <w:rFonts w:ascii="新細明體" w:eastAsia="新細明體" w:hAnsi="新細明體" w:cs="新細明體"/>
          <w:color w:val="auto"/>
          <w:sz w:val="24"/>
          <w:szCs w:val="24"/>
        </w:rPr>
        <w:t>而</w:t>
      </w:r>
      <w:r w:rsidRPr="005F0C01">
        <w:rPr>
          <w:rFonts w:ascii="新細明體" w:eastAsia="新細明體" w:hAnsi="新細明體" w:cs="新細明體"/>
          <w:color w:val="auto"/>
          <w:sz w:val="24"/>
          <w:szCs w:val="24"/>
        </w:rPr>
        <w:t>又很少有機會在小三的數學課堂讓學生自己解說</w:t>
      </w:r>
      <w:proofErr w:type="gramStart"/>
      <w:r w:rsidRPr="005F0C01">
        <w:rPr>
          <w:rFonts w:ascii="新細明體" w:eastAsia="新細明體" w:hAnsi="新細明體" w:cs="新細明體"/>
          <w:color w:val="auto"/>
          <w:sz w:val="24"/>
          <w:szCs w:val="24"/>
        </w:rPr>
        <w:t>清楚的</w:t>
      </w:r>
      <w:proofErr w:type="gramEnd"/>
      <w:r w:rsidRPr="005F0C01">
        <w:rPr>
          <w:rFonts w:ascii="新細明體" w:eastAsia="新細明體" w:hAnsi="新細明體" w:cs="新細明體"/>
          <w:color w:val="auto"/>
          <w:sz w:val="24"/>
          <w:szCs w:val="24"/>
        </w:rPr>
        <w:t>。</w:t>
      </w:r>
    </w:p>
    <w:p w:rsidR="00F30982" w:rsidRDefault="00466063" w:rsidP="00F43E2F">
      <w:pPr>
        <w:pStyle w:val="Default"/>
        <w:numPr>
          <w:ilvl w:val="1"/>
          <w:numId w:val="4"/>
        </w:numPr>
        <w:spacing w:before="120"/>
        <w:rPr>
          <w:rFonts w:ascii="新細明體" w:eastAsia="新細明體" w:hAnsi="新細明體" w:cs="新細明體" w:hint="default"/>
          <w:sz w:val="24"/>
          <w:szCs w:val="24"/>
        </w:rPr>
      </w:pPr>
      <w:r w:rsidRPr="00466063">
        <w:rPr>
          <w:rFonts w:ascii="新細明體" w:eastAsia="新細明體" w:hAnsi="新細明體" w:cs="新細明體"/>
          <w:sz w:val="24"/>
          <w:szCs w:val="24"/>
        </w:rPr>
        <w:t>《</w:t>
      </w:r>
      <w:r w:rsidR="00260E36">
        <w:rPr>
          <w:rFonts w:ascii="新細明體" w:eastAsia="新細明體" w:hAnsi="新細明體" w:cs="新細明體"/>
          <w:b/>
          <w:sz w:val="24"/>
          <w:szCs w:val="24"/>
        </w:rPr>
        <w:t>比較容量(</w:t>
      </w:r>
      <w:r w:rsidR="008E3B89" w:rsidRPr="001D3EE2">
        <w:rPr>
          <w:rFonts w:ascii="新細明體" w:eastAsia="新細明體" w:hAnsi="新細明體" w:cs="新細明體"/>
          <w:b/>
          <w:sz w:val="24"/>
          <w:szCs w:val="24"/>
        </w:rPr>
        <w:t>1</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主要是</w:t>
      </w:r>
      <w:r w:rsidR="004440DF">
        <w:rPr>
          <w:rFonts w:ascii="新細明體" w:eastAsia="新細明體" w:hAnsi="新細明體" w:cs="新細明體"/>
          <w:sz w:val="24"/>
          <w:szCs w:val="24"/>
        </w:rPr>
        <w:t>環繞以上第一、二點所指的意思，</w:t>
      </w:r>
      <w:r w:rsidR="008E3B89">
        <w:rPr>
          <w:rFonts w:ascii="新細明體" w:eastAsia="新細明體" w:hAnsi="新細明體" w:cs="新細明體"/>
          <w:sz w:val="24"/>
          <w:szCs w:val="24"/>
        </w:rPr>
        <w:t>讓學生瞭解如何直接比較兩個容器的容量。藉著</w:t>
      </w:r>
      <w:r w:rsidR="004440DF">
        <w:rPr>
          <w:rFonts w:ascii="新細明體" w:eastAsia="新細明體" w:hAnsi="新細明體" w:cs="新細明體"/>
          <w:sz w:val="24"/>
          <w:szCs w:val="24"/>
        </w:rPr>
        <w:t>例子</w:t>
      </w:r>
      <w:r w:rsidR="004440DF" w:rsidRPr="004440DF">
        <w:rPr>
          <w:rFonts w:ascii="Times New Roman" w:eastAsia="新細明體" w:hAnsi="Times New Roman" w:cs="Times New Roman" w:hint="default"/>
          <w:sz w:val="24"/>
          <w:szCs w:val="24"/>
        </w:rPr>
        <w:t>3</w:t>
      </w:r>
      <w:r w:rsidR="004440DF">
        <w:rPr>
          <w:rFonts w:ascii="Times New Roman" w:eastAsia="新細明體" w:hAnsi="Times New Roman" w:cs="Times New Roman"/>
          <w:sz w:val="24"/>
          <w:szCs w:val="24"/>
        </w:rPr>
        <w:t xml:space="preserve"> </w:t>
      </w:r>
      <w:r w:rsidR="004440DF" w:rsidRPr="004440DF">
        <w:rPr>
          <w:rFonts w:ascii="Times New Roman" w:eastAsia="新細明體" w:hAnsi="Times New Roman" w:cs="Times New Roman" w:hint="default"/>
          <w:sz w:val="24"/>
          <w:szCs w:val="24"/>
        </w:rPr>
        <w:t>-</w:t>
      </w:r>
      <w:r w:rsidR="004440DF">
        <w:rPr>
          <w:rFonts w:ascii="Times New Roman" w:eastAsia="新細明體" w:hAnsi="Times New Roman" w:cs="Times New Roman"/>
          <w:sz w:val="24"/>
          <w:szCs w:val="24"/>
        </w:rPr>
        <w:t xml:space="preserve"> </w:t>
      </w:r>
      <w:r w:rsidR="004440DF" w:rsidRPr="004440DF">
        <w:rPr>
          <w:rFonts w:ascii="Times New Roman" w:eastAsia="新細明體" w:hAnsi="Times New Roman" w:cs="Times New Roman" w:hint="default"/>
          <w:sz w:val="24"/>
          <w:szCs w:val="24"/>
        </w:rPr>
        <w:t>5</w:t>
      </w:r>
      <w:r w:rsidR="008E3B89">
        <w:rPr>
          <w:rFonts w:ascii="新細明體" w:eastAsia="新細明體" w:hAnsi="新細明體" w:cs="新細明體"/>
          <w:sz w:val="24"/>
          <w:szCs w:val="24"/>
        </w:rPr>
        <w:t>將注滿一個器皿的水倒進另一個器皿的過程慢慢展示（老師也可播放影片）及投影片中列出過程中可以向學生的提問，讓學生一再確定兩個容器的容量比較，是按</w:t>
      </w:r>
      <w:proofErr w:type="gramStart"/>
      <w:r w:rsidR="008E3B89">
        <w:rPr>
          <w:rFonts w:ascii="新細明體" w:eastAsia="新細明體" w:hAnsi="新細明體" w:cs="新細明體"/>
          <w:sz w:val="24"/>
          <w:szCs w:val="24"/>
        </w:rPr>
        <w:t>它們盛載著</w:t>
      </w:r>
      <w:proofErr w:type="gramEnd"/>
      <w:r w:rsidR="008E3B89">
        <w:rPr>
          <w:rFonts w:ascii="新細明體" w:eastAsia="新細明體" w:hAnsi="新細明體" w:cs="新細明體"/>
          <w:sz w:val="24"/>
          <w:szCs w:val="24"/>
        </w:rPr>
        <w:t>的水的多少而作比較，而不是表面所見器皿的</w:t>
      </w:r>
      <w:r w:rsidRPr="00466063">
        <w:rPr>
          <w:rFonts w:ascii="新細明體" w:eastAsia="新細明體" w:hAnsi="新細明體" w:cs="新細明體"/>
          <w:sz w:val="24"/>
          <w:szCs w:val="24"/>
        </w:rPr>
        <w:t>「</w:t>
      </w:r>
      <w:proofErr w:type="gramStart"/>
      <w:r w:rsidR="008E3B89">
        <w:rPr>
          <w:rFonts w:ascii="新細明體" w:eastAsia="新細明體" w:hAnsi="新細明體" w:cs="新細明體"/>
          <w:sz w:val="24"/>
          <w:szCs w:val="24"/>
        </w:rPr>
        <w:t>高矮</w:t>
      </w:r>
      <w:r w:rsidR="00E916B2">
        <w:rPr>
          <w:rFonts w:ascii="新細明體" w:eastAsia="新細明體" w:hAnsi="新細明體" w:cs="新細明體"/>
          <w:sz w:val="24"/>
          <w:szCs w:val="24"/>
        </w:rPr>
        <w:t>闊窄</w:t>
      </w:r>
      <w:proofErr w:type="gramEnd"/>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。過程中也</w:t>
      </w:r>
      <w:r w:rsidR="008E341D">
        <w:rPr>
          <w:rFonts w:ascii="新細明體" w:eastAsia="新細明體" w:hAnsi="新細明體" w:cs="新細明體"/>
          <w:sz w:val="24"/>
          <w:szCs w:val="24"/>
        </w:rPr>
        <w:t>可</w:t>
      </w:r>
      <w:r w:rsidR="008E3B89">
        <w:rPr>
          <w:rFonts w:ascii="新細明體" w:eastAsia="新細明體" w:hAnsi="新細明體" w:cs="新細明體"/>
          <w:sz w:val="24"/>
          <w:szCs w:val="24"/>
        </w:rPr>
        <w:t>讓學生注意</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剛好注滿</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還有空間</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溢出</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等</w:t>
      </w:r>
      <w:r w:rsidR="008E341D">
        <w:rPr>
          <w:rFonts w:ascii="新細明體" w:eastAsia="新細明體" w:hAnsi="新細明體" w:cs="新細明體"/>
          <w:sz w:val="24"/>
          <w:szCs w:val="24"/>
        </w:rPr>
        <w:t>概念</w:t>
      </w:r>
      <w:r w:rsidR="008E3B89">
        <w:rPr>
          <w:rFonts w:ascii="新細明體" w:eastAsia="新細明體" w:hAnsi="新細明體" w:cs="新細明體"/>
          <w:sz w:val="24"/>
          <w:szCs w:val="24"/>
        </w:rPr>
        <w:t>。</w:t>
      </w:r>
    </w:p>
    <w:p w:rsidR="00F30982" w:rsidRDefault="00260E36" w:rsidP="00F43E2F">
      <w:pPr>
        <w:pStyle w:val="Default"/>
        <w:numPr>
          <w:ilvl w:val="1"/>
          <w:numId w:val="4"/>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學生</w:t>
      </w:r>
      <w:r w:rsidR="008E3B89">
        <w:rPr>
          <w:rFonts w:ascii="新細明體" w:eastAsia="新細明體" w:hAnsi="新細明體" w:cs="新細明體"/>
          <w:sz w:val="24"/>
          <w:szCs w:val="24"/>
        </w:rPr>
        <w:t>掌握了容量</w:t>
      </w:r>
      <w:r>
        <w:rPr>
          <w:rFonts w:ascii="新細明體" w:eastAsia="新細明體" w:hAnsi="新細明體" w:cs="新細明體"/>
          <w:sz w:val="24"/>
          <w:szCs w:val="24"/>
        </w:rPr>
        <w:t>和直接比較</w:t>
      </w:r>
      <w:r w:rsidR="008E3B89">
        <w:rPr>
          <w:rFonts w:ascii="新細明體" w:eastAsia="新細明體" w:hAnsi="新細明體" w:cs="新細明體"/>
          <w:sz w:val="24"/>
          <w:szCs w:val="24"/>
        </w:rPr>
        <w:t>的概念，</w:t>
      </w:r>
      <w:r>
        <w:rPr>
          <w:rFonts w:ascii="新細明體" w:eastAsia="新細明體" w:hAnsi="新細明體" w:cs="新細明體"/>
          <w:sz w:val="24"/>
          <w:szCs w:val="24"/>
        </w:rPr>
        <w:t>老師便可引入</w:t>
      </w:r>
      <w:r w:rsidR="008E3B89">
        <w:rPr>
          <w:rFonts w:ascii="新細明體" w:eastAsia="新細明體" w:hAnsi="新細明體" w:cs="新細明體"/>
          <w:sz w:val="24"/>
          <w:szCs w:val="24"/>
        </w:rPr>
        <w:t>間接比較</w:t>
      </w:r>
      <w:r>
        <w:rPr>
          <w:rFonts w:ascii="新細明體" w:eastAsia="新細明體" w:hAnsi="新細明體" w:cs="新細明體"/>
          <w:sz w:val="24"/>
          <w:szCs w:val="24"/>
        </w:rPr>
        <w:t>的概念</w:t>
      </w:r>
      <w:r w:rsidR="008E3B89">
        <w:rPr>
          <w:rFonts w:ascii="新細明體" w:eastAsia="新細明體" w:hAnsi="新細明體" w:cs="新細明體"/>
          <w:sz w:val="24"/>
          <w:szCs w:val="24"/>
        </w:rPr>
        <w:t>。</w:t>
      </w:r>
      <w:r>
        <w:rPr>
          <w:rFonts w:ascii="新細明體" w:eastAsia="新細明體" w:hAnsi="新細明體" w:cs="新細明體"/>
          <w:sz w:val="24"/>
          <w:szCs w:val="24"/>
        </w:rPr>
        <w:t>在量度不同器皿的容量時，</w:t>
      </w:r>
      <w:r w:rsidR="008E3B89">
        <w:rPr>
          <w:rFonts w:ascii="新細明體" w:eastAsia="新細明體" w:hAnsi="新細明體" w:cs="新細明體"/>
          <w:sz w:val="24"/>
          <w:szCs w:val="24"/>
        </w:rPr>
        <w:t>間接比較的基本原則</w:t>
      </w:r>
      <w:r>
        <w:rPr>
          <w:rFonts w:ascii="新細明體" w:eastAsia="新細明體" w:hAnsi="新細明體" w:cs="新細明體"/>
          <w:sz w:val="24"/>
          <w:szCs w:val="24"/>
        </w:rPr>
        <w:t>是</w:t>
      </w:r>
      <w:r w:rsidR="008E3B89">
        <w:rPr>
          <w:rFonts w:ascii="新細明體" w:eastAsia="新細明體" w:hAnsi="新細明體" w:cs="新細明體"/>
          <w:sz w:val="24"/>
          <w:szCs w:val="24"/>
        </w:rPr>
        <w:t>使用同一</w:t>
      </w:r>
      <w:proofErr w:type="gramStart"/>
      <w:r w:rsidR="008E3B89">
        <w:rPr>
          <w:rFonts w:ascii="新細明體" w:eastAsia="新細明體" w:hAnsi="新細明體" w:cs="新細明體"/>
          <w:sz w:val="24"/>
          <w:szCs w:val="24"/>
        </w:rPr>
        <w:t>個</w:t>
      </w:r>
      <w:proofErr w:type="gramEnd"/>
      <w:r w:rsidR="008E3B89">
        <w:rPr>
          <w:rFonts w:ascii="新細明體" w:eastAsia="新細明體" w:hAnsi="新細明體" w:cs="新細明體"/>
          <w:sz w:val="24"/>
          <w:szCs w:val="24"/>
        </w:rPr>
        <w:t>自訂單位</w:t>
      </w:r>
      <w:r>
        <w:rPr>
          <w:rFonts w:ascii="新細明體" w:eastAsia="新細明體" w:hAnsi="新細明體" w:cs="新細明體"/>
          <w:sz w:val="24"/>
          <w:szCs w:val="24"/>
        </w:rPr>
        <w:t>（「中間人」）</w:t>
      </w:r>
      <w:r w:rsidR="008E3B89">
        <w:rPr>
          <w:rFonts w:ascii="新細明體" w:eastAsia="新細明體" w:hAnsi="新細明體" w:cs="新細明體"/>
          <w:sz w:val="24"/>
          <w:szCs w:val="24"/>
        </w:rPr>
        <w:t>比較它們的容量。老師</w:t>
      </w:r>
      <w:r w:rsidR="00156654">
        <w:rPr>
          <w:rFonts w:ascii="新細明體" w:eastAsia="新細明體" w:hAnsi="新細明體" w:cs="新細明體"/>
          <w:sz w:val="24"/>
          <w:szCs w:val="24"/>
        </w:rPr>
        <w:t>可使用</w:t>
      </w:r>
      <w:r w:rsidR="00156654" w:rsidRPr="00466063">
        <w:rPr>
          <w:rFonts w:ascii="新細明體" w:eastAsia="新細明體" w:hAnsi="新細明體" w:cs="新細明體"/>
          <w:sz w:val="24"/>
          <w:szCs w:val="24"/>
        </w:rPr>
        <w:t>《</w:t>
      </w:r>
      <w:r w:rsidR="00F43E2F" w:rsidRPr="00F43E2F">
        <w:rPr>
          <w:rFonts w:ascii="新細明體" w:eastAsia="新細明體" w:hAnsi="新細明體" w:cs="新細明體"/>
          <w:b/>
          <w:sz w:val="24"/>
          <w:szCs w:val="24"/>
        </w:rPr>
        <w:t>自訂單位(中間人)</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00156654" w:rsidRPr="00466063">
        <w:rPr>
          <w:rFonts w:ascii="新細明體" w:eastAsia="新細明體" w:hAnsi="新細明體" w:cs="新細明體"/>
          <w:sz w:val="24"/>
          <w:szCs w:val="24"/>
        </w:rPr>
        <w:t>》</w:t>
      </w:r>
      <w:r w:rsidR="00156654">
        <w:rPr>
          <w:rFonts w:ascii="新細明體" w:eastAsia="新細明體" w:hAnsi="新細明體" w:cs="新細明體"/>
          <w:sz w:val="24"/>
          <w:szCs w:val="24"/>
        </w:rPr>
        <w:t>，</w:t>
      </w:r>
      <w:r w:rsidR="008E3B89">
        <w:rPr>
          <w:rFonts w:ascii="新細明體" w:eastAsia="新細明體" w:hAnsi="新細明體" w:cs="新細明體"/>
          <w:sz w:val="24"/>
          <w:szCs w:val="24"/>
        </w:rPr>
        <w:t>和學生可討論當</w:t>
      </w:r>
      <w:r w:rsidR="008E341D">
        <w:rPr>
          <w:rFonts w:ascii="新細明體" w:eastAsia="新細明體" w:hAnsi="新細明體" w:cs="新細明體"/>
          <w:sz w:val="24"/>
          <w:szCs w:val="24"/>
        </w:rPr>
        <w:t>「</w:t>
      </w:r>
      <w:r w:rsidR="008E3B89">
        <w:rPr>
          <w:rFonts w:ascii="新細明體" w:eastAsia="新細明體" w:hAnsi="新細明體" w:cs="新細明體"/>
          <w:sz w:val="24"/>
          <w:szCs w:val="24"/>
        </w:rPr>
        <w:t>中間人</w:t>
      </w:r>
      <w:r w:rsidR="008E341D">
        <w:rPr>
          <w:rFonts w:ascii="新細明體" w:eastAsia="新細明體" w:hAnsi="新細明體" w:cs="新細明體"/>
          <w:sz w:val="24"/>
          <w:szCs w:val="24"/>
        </w:rPr>
        <w:t>」</w:t>
      </w:r>
      <w:r w:rsidR="00156654">
        <w:rPr>
          <w:rFonts w:ascii="新細明體" w:eastAsia="新細明體" w:hAnsi="新細明體" w:cs="新細明體"/>
          <w:sz w:val="24"/>
          <w:szCs w:val="24"/>
        </w:rPr>
        <w:t>比有關容器大，又或比有關容器小的時候所出現的情況。</w:t>
      </w:r>
      <w:r w:rsidR="008E3B89">
        <w:rPr>
          <w:rFonts w:ascii="新細明體" w:eastAsia="新細明體" w:hAnsi="新細明體" w:cs="新細明體"/>
          <w:sz w:val="24"/>
          <w:szCs w:val="24"/>
        </w:rPr>
        <w:t>老師亦可按投影片中提供的超連結播放有關影片。無論是演示投影片或是影片</w:t>
      </w:r>
      <w:r w:rsidR="00156654">
        <w:rPr>
          <w:rFonts w:ascii="新細明體" w:eastAsia="新細明體" w:hAnsi="新細明體" w:cs="新細明體"/>
          <w:sz w:val="24"/>
          <w:szCs w:val="24"/>
        </w:rPr>
        <w:t>，重要的是通過老師的提問，學生清楚知道或觀察到有關容器和「中間人」的容量關係</w:t>
      </w:r>
      <w:r w:rsidR="008E3B89">
        <w:rPr>
          <w:rFonts w:ascii="新細明體" w:eastAsia="新細明體" w:hAnsi="新細明體" w:cs="新細明體"/>
          <w:sz w:val="24"/>
          <w:szCs w:val="24"/>
        </w:rPr>
        <w:t>，及由此而得到的結論。</w:t>
      </w:r>
    </w:p>
    <w:p w:rsidR="00F30982" w:rsidRDefault="00466063" w:rsidP="00466063">
      <w:pPr>
        <w:pStyle w:val="Default"/>
        <w:numPr>
          <w:ilvl w:val="1"/>
          <w:numId w:val="4"/>
        </w:numPr>
        <w:spacing w:before="120"/>
        <w:ind w:left="547" w:hanging="547"/>
        <w:rPr>
          <w:rFonts w:ascii="新細明體" w:eastAsia="新細明體" w:hAnsi="新細明體" w:cs="新細明體" w:hint="default"/>
          <w:sz w:val="24"/>
          <w:szCs w:val="24"/>
        </w:rPr>
      </w:pPr>
      <w:r w:rsidRPr="00466063">
        <w:rPr>
          <w:rFonts w:ascii="新細明體" w:eastAsia="新細明體" w:hAnsi="新細明體" w:cs="新細明體"/>
          <w:sz w:val="24"/>
          <w:szCs w:val="24"/>
        </w:rPr>
        <w:lastRenderedPageBreak/>
        <w:t>《</w:t>
      </w:r>
      <w:r w:rsidR="00260E36">
        <w:rPr>
          <w:rFonts w:ascii="新細明體" w:eastAsia="新細明體" w:hAnsi="新細明體" w:cs="新細明體"/>
          <w:b/>
          <w:sz w:val="24"/>
          <w:szCs w:val="24"/>
        </w:rPr>
        <w:t>比較容量(</w:t>
      </w:r>
      <w:r w:rsidR="008E3B89" w:rsidRPr="008C592B">
        <w:rPr>
          <w:rFonts w:ascii="新細明體" w:eastAsia="新細明體" w:hAnsi="新細明體" w:cs="新細明體"/>
          <w:b/>
          <w:sz w:val="24"/>
          <w:szCs w:val="24"/>
        </w:rPr>
        <w:t>2</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主要在間接比較的基本概念上繼續發展，尤其是借助簡單的倍數關係，讓學生處理較複雜的容量比較情況。投影片的設計主要突顯這些容量關係</w:t>
      </w:r>
      <w:r w:rsidR="00451914">
        <w:rPr>
          <w:rFonts w:ascii="新細明體" w:eastAsia="新細明體" w:hAnsi="新細明體" w:cs="新細明體"/>
          <w:sz w:val="24"/>
          <w:szCs w:val="24"/>
        </w:rPr>
        <w:t>以</w:t>
      </w:r>
      <w:r w:rsidR="008E3B89">
        <w:rPr>
          <w:rFonts w:ascii="新細明體" w:eastAsia="新細明體" w:hAnsi="新細明體" w:cs="新細明體"/>
          <w:sz w:val="24"/>
          <w:szCs w:val="24"/>
        </w:rPr>
        <w:t>文字輔以圖像的表達；由於其意思須通過口語反復講解，並須緊緊連</w:t>
      </w:r>
      <w:proofErr w:type="gramStart"/>
      <w:r w:rsidR="008E3B89">
        <w:rPr>
          <w:rFonts w:ascii="新細明體" w:eastAsia="新細明體" w:hAnsi="新細明體" w:cs="新細明體"/>
          <w:sz w:val="24"/>
          <w:szCs w:val="24"/>
        </w:rPr>
        <w:t>繫</w:t>
      </w:r>
      <w:proofErr w:type="gramEnd"/>
      <w:r w:rsidR="008E3B89">
        <w:rPr>
          <w:rFonts w:ascii="新細明體" w:eastAsia="新細明體" w:hAnsi="新細明體" w:cs="新細明體"/>
          <w:sz w:val="24"/>
          <w:szCs w:val="24"/>
        </w:rPr>
        <w:t>於容量的基本概念，使用投影片時須特別留意其中建議的提問</w:t>
      </w:r>
      <w:proofErr w:type="gramStart"/>
      <w:r w:rsidR="008E3B89">
        <w:rPr>
          <w:rFonts w:ascii="新細明體" w:eastAsia="新細明體" w:hAnsi="新細明體" w:cs="新細明體"/>
          <w:sz w:val="24"/>
          <w:szCs w:val="24"/>
        </w:rPr>
        <w:t>及從而</w:t>
      </w:r>
      <w:proofErr w:type="gramEnd"/>
      <w:r w:rsidR="008E3B89">
        <w:rPr>
          <w:rFonts w:ascii="新細明體" w:eastAsia="新細明體" w:hAnsi="新細明體" w:cs="新細明體"/>
          <w:sz w:val="24"/>
          <w:szCs w:val="24"/>
        </w:rPr>
        <w:t>衍生的不同說法。換句話說，雖然有關這方面的評估題目（包括這裡提供的</w:t>
      </w:r>
      <w:r w:rsidR="00260E36" w:rsidRPr="00466063">
        <w:rPr>
          <w:rFonts w:ascii="新細明體" w:eastAsia="新細明體" w:hAnsi="新細明體" w:cs="新細明體"/>
          <w:sz w:val="24"/>
          <w:szCs w:val="24"/>
        </w:rPr>
        <w:t>《</w:t>
      </w:r>
      <w:r w:rsidR="00260E36">
        <w:rPr>
          <w:rFonts w:ascii="新細明體" w:eastAsia="新細明體" w:hAnsi="新細明體" w:cs="新細明體"/>
          <w:b/>
          <w:sz w:val="24"/>
          <w:szCs w:val="24"/>
        </w:rPr>
        <w:t>比較容量(</w:t>
      </w:r>
      <w:r w:rsidR="00260E36" w:rsidRPr="008C592B">
        <w:rPr>
          <w:rFonts w:ascii="新細明體" w:eastAsia="新細明體" w:hAnsi="新細明體" w:cs="新細明體"/>
          <w:b/>
          <w:sz w:val="24"/>
          <w:szCs w:val="24"/>
        </w:rPr>
        <w:t>2</w:t>
      </w:r>
      <w:r w:rsidR="00260E36">
        <w:rPr>
          <w:rFonts w:ascii="新細明體" w:eastAsia="新細明體" w:hAnsi="新細明體" w:cs="新細明體"/>
          <w:b/>
          <w:sz w:val="24"/>
          <w:szCs w:val="24"/>
        </w:rPr>
        <w:t>)</w:t>
      </w:r>
      <w:r w:rsidR="00F43E2F">
        <w:rPr>
          <w:rFonts w:ascii="新細明體" w:eastAsia="新細明體" w:hAnsi="新細明體" w:cs="新細明體"/>
          <w:b/>
          <w:sz w:val="24"/>
          <w:szCs w:val="24"/>
          <w:lang w:eastAsia="zh-HK"/>
        </w:rPr>
        <w:t xml:space="preserve"> </w:t>
      </w:r>
      <w:r w:rsidR="008E3B89" w:rsidRPr="00260E36">
        <w:rPr>
          <w:rFonts w:ascii="新細明體" w:eastAsia="新細明體" w:hAnsi="新細明體" w:cs="新細明體"/>
          <w:b/>
          <w:sz w:val="24"/>
          <w:szCs w:val="24"/>
        </w:rPr>
        <w:t>工作紙</w:t>
      </w:r>
      <w:r w:rsidR="00260E36"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）好像</w:t>
      </w:r>
      <w:r w:rsidR="000F3EA4">
        <w:rPr>
          <w:rFonts w:ascii="新細明體" w:eastAsia="新細明體" w:hAnsi="新細明體" w:cs="新細明體"/>
          <w:sz w:val="24"/>
          <w:szCs w:val="24"/>
        </w:rPr>
        <w:t>只</w:t>
      </w:r>
      <w:r w:rsidR="008E3B89">
        <w:rPr>
          <w:rFonts w:ascii="新細明體" w:eastAsia="新細明體" w:hAnsi="新細明體" w:cs="新細明體"/>
          <w:sz w:val="24"/>
          <w:szCs w:val="24"/>
        </w:rPr>
        <w:t>是簡單的乘</w:t>
      </w:r>
      <w:r w:rsidR="001F4244">
        <w:rPr>
          <w:rFonts w:ascii="新細明體" w:eastAsia="新細明體" w:hAnsi="新細明體" w:cs="新細明體"/>
          <w:sz w:val="24"/>
          <w:szCs w:val="24"/>
        </w:rPr>
        <w:t>法</w:t>
      </w:r>
      <w:r w:rsidR="008E3B89">
        <w:rPr>
          <w:rFonts w:ascii="新細明體" w:eastAsia="新細明體" w:hAnsi="新細明體" w:cs="新細明體"/>
          <w:sz w:val="24"/>
          <w:szCs w:val="24"/>
        </w:rPr>
        <w:t>問題，但以這裡提供的</w:t>
      </w:r>
      <w:r w:rsidR="000F3EA4">
        <w:rPr>
          <w:rFonts w:ascii="新細明體" w:eastAsia="新細明體" w:hAnsi="新細明體" w:cs="新細明體"/>
          <w:sz w:val="24"/>
          <w:szCs w:val="24"/>
        </w:rPr>
        <w:t>簡報或</w:t>
      </w:r>
      <w:r w:rsidR="000F3EA4" w:rsidRPr="00466063">
        <w:rPr>
          <w:rFonts w:ascii="新細明體" w:eastAsia="新細明體" w:hAnsi="新細明體" w:cs="新細明體"/>
          <w:sz w:val="24"/>
          <w:szCs w:val="24"/>
        </w:rPr>
        <w:t>《</w:t>
      </w:r>
      <w:r w:rsidR="000F3EA4">
        <w:rPr>
          <w:rFonts w:ascii="新細明體" w:eastAsia="新細明體" w:hAnsi="新細明體" w:cs="新細明體"/>
          <w:b/>
          <w:sz w:val="24"/>
          <w:szCs w:val="24"/>
        </w:rPr>
        <w:t>比較容量(</w:t>
      </w:r>
      <w:r w:rsidR="000F3EA4" w:rsidRPr="008C592B">
        <w:rPr>
          <w:rFonts w:ascii="新細明體" w:eastAsia="新細明體" w:hAnsi="新細明體" w:cs="新細明體"/>
          <w:b/>
          <w:sz w:val="24"/>
          <w:szCs w:val="24"/>
        </w:rPr>
        <w:t>2</w:t>
      </w:r>
      <w:r w:rsidR="000F3EA4">
        <w:rPr>
          <w:rFonts w:ascii="新細明體" w:eastAsia="新細明體" w:hAnsi="新細明體" w:cs="新細明體"/>
          <w:b/>
          <w:sz w:val="24"/>
          <w:szCs w:val="24"/>
        </w:rPr>
        <w:t>)</w:t>
      </w:r>
      <w:r w:rsidR="00F43E2F">
        <w:rPr>
          <w:rFonts w:ascii="新細明體" w:eastAsia="新細明體" w:hAnsi="新細明體" w:cs="新細明體"/>
          <w:b/>
          <w:sz w:val="24"/>
          <w:szCs w:val="24"/>
          <w:lang w:eastAsia="zh-HK"/>
        </w:rPr>
        <w:t xml:space="preserve"> </w:t>
      </w:r>
      <w:r w:rsidR="000F3EA4">
        <w:rPr>
          <w:rFonts w:ascii="新細明體" w:eastAsia="新細明體" w:hAnsi="新細明體" w:cs="新細明體"/>
          <w:b/>
          <w:sz w:val="24"/>
          <w:szCs w:val="24"/>
        </w:rPr>
        <w:t>影片</w:t>
      </w:r>
      <w:r w:rsidR="000F3EA4"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作課堂教學討論的目的就不止於此了。</w:t>
      </w:r>
    </w:p>
    <w:p w:rsidR="0098180E" w:rsidRDefault="0098180E">
      <w:pPr>
        <w:rPr>
          <w:rFonts w:ascii="新細明體" w:eastAsia="新細明體" w:hAnsi="新細明體" w:cs="新細明體"/>
          <w:b/>
          <w:bCs/>
          <w:lang w:eastAsia="zh-TW"/>
        </w:rPr>
      </w:pPr>
    </w:p>
    <w:p w:rsidR="0098180E" w:rsidRDefault="0098180E">
      <w:pPr>
        <w:rPr>
          <w:rFonts w:ascii="新細明體" w:eastAsia="新細明體" w:hAnsi="新細明體" w:cs="新細明體"/>
          <w:b/>
          <w:bCs/>
          <w:lang w:eastAsia="zh-TW"/>
        </w:rPr>
      </w:pPr>
    </w:p>
    <w:p w:rsidR="0098180E" w:rsidRDefault="0098180E">
      <w:pPr>
        <w:rPr>
          <w:rFonts w:ascii="新細明體" w:eastAsia="新細明體" w:hAnsi="新細明體" w:cs="新細明體"/>
          <w:b/>
          <w:bCs/>
          <w:lang w:eastAsia="zh-TW"/>
        </w:rPr>
      </w:pPr>
    </w:p>
    <w:p w:rsidR="00466063" w:rsidRDefault="00466063">
      <w:pPr>
        <w:rPr>
          <w:rFonts w:ascii="新細明體" w:eastAsia="新細明體" w:hAnsi="新細明體" w:cs="新細明體"/>
          <w:b/>
          <w:bCs/>
          <w:color w:val="000000"/>
          <w:u w:color="000000"/>
          <w:lang w:val="zh-TW" w:eastAsia="zh-TW"/>
        </w:rPr>
      </w:pPr>
    </w:p>
    <w:p w:rsidR="00F30982" w:rsidRPr="005B6DF8" w:rsidRDefault="008E3B89" w:rsidP="00466063">
      <w:pPr>
        <w:pStyle w:val="Default"/>
        <w:spacing w:after="120"/>
        <w:rPr>
          <w:rFonts w:hint="default"/>
          <w:sz w:val="28"/>
          <w:szCs w:val="28"/>
        </w:rPr>
      </w:pPr>
      <w:r w:rsidRPr="005B6DF8">
        <w:rPr>
          <w:rFonts w:ascii="新細明體" w:eastAsia="新細明體" w:hAnsi="新細明體" w:cs="新細明體"/>
          <w:b/>
          <w:bCs/>
          <w:sz w:val="28"/>
          <w:szCs w:val="28"/>
        </w:rPr>
        <w:t>容量的公認單位</w:t>
      </w:r>
    </w:p>
    <w:p w:rsidR="00F30982" w:rsidRDefault="008E3B89" w:rsidP="00466063">
      <w:pPr>
        <w:pStyle w:val="Default"/>
        <w:numPr>
          <w:ilvl w:val="1"/>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容量的公認單位或標準單位是</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升</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w:t>
      </w:r>
      <w:r w:rsidRPr="00D72DA8">
        <w:rPr>
          <w:rFonts w:ascii="Times New Roman" w:eastAsia="新細明體" w:hAnsi="Times New Roman" w:cs="Times New Roman" w:hint="default"/>
          <w:sz w:val="24"/>
          <w:szCs w:val="24"/>
        </w:rPr>
        <w:t>L</w:t>
      </w:r>
      <w:r>
        <w:rPr>
          <w:rFonts w:ascii="新細明體" w:eastAsia="新細明體" w:hAnsi="新細明體" w:cs="新細明體"/>
          <w:sz w:val="24"/>
          <w:szCs w:val="24"/>
        </w:rPr>
        <w:t>）和</w:t>
      </w:r>
      <w:r w:rsidR="00466063" w:rsidRPr="00466063">
        <w:rPr>
          <w:rFonts w:ascii="新細明體" w:eastAsia="新細明體" w:hAnsi="新細明體" w:cs="新細明體"/>
          <w:sz w:val="24"/>
          <w:szCs w:val="24"/>
        </w:rPr>
        <w:t>「</w:t>
      </w:r>
      <w:proofErr w:type="gramStart"/>
      <w:r>
        <w:rPr>
          <w:rFonts w:ascii="新細明體" w:eastAsia="新細明體" w:hAnsi="新細明體" w:cs="新細明體"/>
          <w:sz w:val="24"/>
          <w:szCs w:val="24"/>
        </w:rPr>
        <w:t>毫升</w:t>
      </w:r>
      <w:r w:rsidR="00466063" w:rsidRPr="00466063">
        <w:rPr>
          <w:rFonts w:ascii="新細明體" w:eastAsia="新細明體" w:hAnsi="新細明體" w:cs="新細明體"/>
          <w:sz w:val="24"/>
          <w:szCs w:val="24"/>
        </w:rPr>
        <w:t>」</w:t>
      </w:r>
      <w:proofErr w:type="gramEnd"/>
      <w:r>
        <w:rPr>
          <w:rFonts w:ascii="新細明體" w:eastAsia="新細明體" w:hAnsi="新細明體" w:cs="新細明體"/>
          <w:sz w:val="24"/>
          <w:szCs w:val="24"/>
        </w:rPr>
        <w:t>（</w:t>
      </w:r>
      <w:r w:rsidRPr="00D72DA8">
        <w:rPr>
          <w:rFonts w:ascii="Times New Roman" w:eastAsia="新細明體" w:hAnsi="Times New Roman" w:cs="Times New Roman" w:hint="default"/>
          <w:sz w:val="24"/>
          <w:szCs w:val="24"/>
        </w:rPr>
        <w:t>mL</w:t>
      </w:r>
      <w:r>
        <w:rPr>
          <w:rFonts w:ascii="新細明體" w:eastAsia="新細明體" w:hAnsi="新細明體" w:cs="新細明體"/>
          <w:sz w:val="24"/>
          <w:szCs w:val="24"/>
        </w:rPr>
        <w:t>）。</w:t>
      </w:r>
      <w:r w:rsidR="00451914">
        <w:rPr>
          <w:rFonts w:ascii="新細明體" w:eastAsia="新細明體" w:hAnsi="新細明體" w:cs="新細明體"/>
          <w:sz w:val="24"/>
          <w:szCs w:val="24"/>
        </w:rPr>
        <w:t>在</w:t>
      </w:r>
      <w:r>
        <w:rPr>
          <w:rFonts w:ascii="新細明體" w:eastAsia="新細明體" w:hAnsi="新細明體" w:cs="新細明體"/>
          <w:sz w:val="24"/>
          <w:szCs w:val="24"/>
        </w:rPr>
        <w:t>介紹這兩</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單位</w:t>
      </w:r>
      <w:r w:rsidR="00451914">
        <w:rPr>
          <w:rFonts w:ascii="新細明體" w:eastAsia="新細明體" w:hAnsi="新細明體" w:cs="新細明體"/>
          <w:sz w:val="24"/>
          <w:szCs w:val="24"/>
        </w:rPr>
        <w:t>的時候</w:t>
      </w:r>
      <w:r>
        <w:rPr>
          <w:rFonts w:ascii="新細明體" w:eastAsia="新細明體" w:hAnsi="新細明體" w:cs="新細明體"/>
          <w:sz w:val="24"/>
          <w:szCs w:val="24"/>
        </w:rPr>
        <w:t>，當然也包括一升等於一千毫升的基本關</w:t>
      </w:r>
      <w:r w:rsidR="005B6DF8">
        <w:rPr>
          <w:rFonts w:ascii="新細明體" w:eastAsia="新細明體" w:hAnsi="新細明體" w:cs="新細明體"/>
          <w:sz w:val="24"/>
          <w:szCs w:val="24"/>
        </w:rPr>
        <w:t>係。這兩個單位的概念及其關係</w:t>
      </w:r>
      <w:r>
        <w:rPr>
          <w:rFonts w:ascii="新細明體" w:eastAsia="新細明體" w:hAnsi="新細明體" w:cs="新細明體"/>
          <w:sz w:val="24"/>
          <w:szCs w:val="24"/>
        </w:rPr>
        <w:t>通過閲讀量杯的刻度而得以鞏固。</w:t>
      </w:r>
      <w:proofErr w:type="gramStart"/>
      <w:r w:rsidR="00466063" w:rsidRPr="00466063">
        <w:rPr>
          <w:rFonts w:ascii="新細明體" w:eastAsia="新細明體" w:hAnsi="新細明體" w:cs="新細明體"/>
          <w:sz w:val="24"/>
          <w:szCs w:val="24"/>
        </w:rPr>
        <w:t>《</w:t>
      </w:r>
      <w:proofErr w:type="gramEnd"/>
      <w:r w:rsidRPr="002C51E1">
        <w:rPr>
          <w:rFonts w:ascii="新細明體" w:eastAsia="新細明體" w:hAnsi="新細明體" w:cs="新細明體"/>
          <w:b/>
          <w:sz w:val="24"/>
          <w:szCs w:val="24"/>
        </w:rPr>
        <w:t>閲讀量杯</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便是以此為目的。</w:t>
      </w:r>
    </w:p>
    <w:p w:rsidR="00F30982" w:rsidRDefault="002C51E1" w:rsidP="005B6DF8">
      <w:pPr>
        <w:pStyle w:val="Default"/>
        <w:numPr>
          <w:ilvl w:val="1"/>
          <w:numId w:val="4"/>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簡報</w:t>
      </w:r>
      <w:r w:rsidR="00D72DA8">
        <w:rPr>
          <w:rFonts w:ascii="新細明體" w:eastAsia="新細明體" w:hAnsi="新細明體" w:cs="新細明體"/>
          <w:sz w:val="24"/>
          <w:szCs w:val="24"/>
        </w:rPr>
        <w:t>前半部</w:t>
      </w:r>
      <w:r w:rsidR="008E3B89">
        <w:rPr>
          <w:rFonts w:ascii="新細明體" w:eastAsia="新細明體" w:hAnsi="新細明體" w:cs="新細明體"/>
          <w:sz w:val="24"/>
          <w:szCs w:val="24"/>
        </w:rPr>
        <w:t>引用的影片介紹</w:t>
      </w:r>
      <w:r w:rsidR="00466063"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升</w:t>
      </w:r>
      <w:r w:rsidR="00466063"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的同時也突顯了一般</w:t>
      </w:r>
      <w:r w:rsidR="00451914">
        <w:rPr>
          <w:rFonts w:ascii="新細明體" w:eastAsia="新細明體" w:hAnsi="新細明體" w:cs="新細明體"/>
          <w:sz w:val="24"/>
          <w:szCs w:val="24"/>
        </w:rPr>
        <w:t>學生</w:t>
      </w:r>
      <w:r w:rsidR="008E3B89">
        <w:rPr>
          <w:rFonts w:ascii="新細明體" w:eastAsia="新細明體" w:hAnsi="新細明體" w:cs="新細明體"/>
          <w:sz w:val="24"/>
          <w:szCs w:val="24"/>
        </w:rPr>
        <w:t>都會有的錯誤印象：</w:t>
      </w:r>
      <w:r w:rsidR="00451914">
        <w:rPr>
          <w:rFonts w:ascii="新細明體" w:eastAsia="新細明體" w:hAnsi="新細明體" w:cs="新細明體"/>
          <w:sz w:val="24"/>
          <w:szCs w:val="24"/>
        </w:rPr>
        <w:t>誤以為</w:t>
      </w:r>
      <w:r w:rsidR="008E3B89">
        <w:rPr>
          <w:rFonts w:ascii="新細明體" w:eastAsia="新細明體" w:hAnsi="新細明體" w:cs="新細明體"/>
          <w:sz w:val="24"/>
          <w:szCs w:val="24"/>
        </w:rPr>
        <w:t>一升（</w:t>
      </w:r>
      <w:r w:rsidR="004B3AB6">
        <w:rPr>
          <w:rFonts w:ascii="新細明體" w:eastAsia="新細明體" w:hAnsi="新細明體" w:cs="新細明體"/>
          <w:sz w:val="24"/>
          <w:szCs w:val="24"/>
        </w:rPr>
        <w:t>即</w:t>
      </w:r>
      <w:r w:rsidR="008E3B89" w:rsidRPr="00D72DA8">
        <w:rPr>
          <w:rFonts w:ascii="Times New Roman" w:eastAsia="新細明體" w:hAnsi="Times New Roman" w:cs="Times New Roman" w:hint="default"/>
          <w:sz w:val="24"/>
          <w:szCs w:val="24"/>
        </w:rPr>
        <w:t>1000</w:t>
      </w:r>
      <w:r w:rsidR="008E3B89">
        <w:rPr>
          <w:rFonts w:ascii="新細明體" w:eastAsia="新細明體" w:hAnsi="新細明體" w:cs="新細明體"/>
          <w:sz w:val="24"/>
          <w:szCs w:val="24"/>
        </w:rPr>
        <w:t>毫升）的水應該遠多於那個每邊10cm正立方體容器所</w:t>
      </w:r>
      <w:proofErr w:type="gramStart"/>
      <w:r w:rsidR="008E3B89">
        <w:rPr>
          <w:rFonts w:ascii="新細明體" w:eastAsia="新細明體" w:hAnsi="新細明體" w:cs="新細明體"/>
          <w:sz w:val="24"/>
          <w:szCs w:val="24"/>
        </w:rPr>
        <w:t>能盛載的</w:t>
      </w:r>
      <w:proofErr w:type="gramEnd"/>
      <w:r w:rsidR="008E3B89">
        <w:rPr>
          <w:rFonts w:ascii="新細明體" w:eastAsia="新細明體" w:hAnsi="新細明體" w:cs="新細明體"/>
          <w:sz w:val="24"/>
          <w:szCs w:val="24"/>
        </w:rPr>
        <w:t>。</w:t>
      </w:r>
      <w:r w:rsidR="00451914">
        <w:rPr>
          <w:rFonts w:ascii="新細明體" w:eastAsia="新細明體" w:hAnsi="新細明體" w:cs="新細明體"/>
          <w:sz w:val="24"/>
          <w:szCs w:val="24"/>
        </w:rPr>
        <w:t>除以</w:t>
      </w:r>
      <w:r w:rsidR="008E3B89">
        <w:rPr>
          <w:rFonts w:ascii="新細明體" w:eastAsia="新細明體" w:hAnsi="新細明體" w:cs="新細明體"/>
          <w:sz w:val="24"/>
          <w:szCs w:val="24"/>
        </w:rPr>
        <w:t>直述</w:t>
      </w:r>
      <w:r w:rsidR="00451914">
        <w:rPr>
          <w:rFonts w:ascii="新細明體" w:eastAsia="新細明體" w:hAnsi="新細明體" w:cs="新細明體"/>
          <w:sz w:val="24"/>
          <w:szCs w:val="24"/>
        </w:rPr>
        <w:t>的方法</w:t>
      </w:r>
      <w:r w:rsidR="008E3B89">
        <w:rPr>
          <w:rFonts w:ascii="新細明體" w:eastAsia="新細明體" w:hAnsi="新細明體" w:cs="新細明體"/>
          <w:sz w:val="24"/>
          <w:szCs w:val="24"/>
        </w:rPr>
        <w:t>，老師</w:t>
      </w:r>
      <w:r w:rsidR="00451914">
        <w:rPr>
          <w:rFonts w:ascii="新細明體" w:eastAsia="新細明體" w:hAnsi="新細明體" w:cs="新細明體"/>
          <w:sz w:val="24"/>
          <w:szCs w:val="24"/>
        </w:rPr>
        <w:t>也</w:t>
      </w:r>
      <w:r w:rsidR="008E3B89">
        <w:rPr>
          <w:rFonts w:ascii="新細明體" w:eastAsia="新細明體" w:hAnsi="新細明體" w:cs="新細明體"/>
          <w:sz w:val="24"/>
          <w:szCs w:val="24"/>
        </w:rPr>
        <w:t>可先讓學生猜猜倒水的結果，一方面</w:t>
      </w:r>
      <w:r w:rsidR="004B3AB6">
        <w:rPr>
          <w:rFonts w:ascii="新細明體" w:eastAsia="新細明體" w:hAnsi="新細明體" w:cs="新細明體"/>
          <w:sz w:val="24"/>
          <w:szCs w:val="24"/>
        </w:rPr>
        <w:t>建立</w:t>
      </w:r>
      <w:r w:rsidR="005B6DF8" w:rsidRPr="005B6DF8">
        <w:rPr>
          <w:rFonts w:ascii="新細明體" w:eastAsia="新細明體" w:hAnsi="新細明體" w:cs="新細明體"/>
          <w:sz w:val="24"/>
          <w:szCs w:val="24"/>
        </w:rPr>
        <w:t>「</w:t>
      </w:r>
      <w:r w:rsidR="008E3B89">
        <w:rPr>
          <w:rFonts w:ascii="新細明體" w:eastAsia="新細明體" w:hAnsi="新細明體" w:cs="新細明體"/>
          <w:sz w:val="24"/>
          <w:szCs w:val="24"/>
        </w:rPr>
        <w:t>一升</w:t>
      </w:r>
      <w:r w:rsidR="005B6DF8" w:rsidRPr="005B6DF8">
        <w:rPr>
          <w:rFonts w:ascii="新細明體" w:eastAsia="新細明體" w:hAnsi="新細明體" w:cs="新細明體"/>
          <w:sz w:val="24"/>
          <w:szCs w:val="24"/>
        </w:rPr>
        <w:t>」</w:t>
      </w:r>
      <w:r w:rsidR="008E3B89">
        <w:rPr>
          <w:rFonts w:ascii="新細明體" w:eastAsia="新細明體" w:hAnsi="新細明體" w:cs="新細明體"/>
          <w:sz w:val="24"/>
          <w:szCs w:val="24"/>
        </w:rPr>
        <w:t>的概念，另一方面也是量感的培養。當然，因著直觀判斷的偏頗，也道出標準量度容量的工具（如量杯）的需要。</w:t>
      </w:r>
    </w:p>
    <w:p w:rsidR="00F30982" w:rsidRDefault="008E3B89" w:rsidP="00F43E2F">
      <w:pPr>
        <w:pStyle w:val="Default"/>
        <w:numPr>
          <w:ilvl w:val="1"/>
          <w:numId w:val="4"/>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通過</w:t>
      </w:r>
      <w:r w:rsidR="00466063" w:rsidRPr="00466063">
        <w:rPr>
          <w:rFonts w:ascii="新細明體" w:eastAsia="新細明體" w:hAnsi="新細明體" w:cs="新細明體"/>
          <w:sz w:val="24"/>
          <w:szCs w:val="24"/>
        </w:rPr>
        <w:t>《</w:t>
      </w:r>
      <w:r w:rsidRPr="00D72DA8">
        <w:rPr>
          <w:rFonts w:ascii="新細明體" w:eastAsia="新細明體" w:hAnsi="新細明體" w:cs="新細明體"/>
          <w:b/>
          <w:sz w:val="24"/>
          <w:szCs w:val="24"/>
        </w:rPr>
        <w:t>不同容量的例子</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，小至指頭般大小的量杯、或一小瓶的眼藥水，以至日常的罐裝飲品，大至超大的儲水缸、泳池，讓學生進一步了解</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升</w:t>
      </w:r>
      <w:r w:rsidR="00466063" w:rsidRPr="00466063">
        <w:rPr>
          <w:rFonts w:ascii="新細明體" w:eastAsia="新細明體" w:hAnsi="新細明體" w:cs="新細明體"/>
          <w:sz w:val="24"/>
          <w:szCs w:val="24"/>
        </w:rPr>
        <w:t>」</w:t>
      </w:r>
      <w:r>
        <w:rPr>
          <w:rFonts w:ascii="新細明體" w:eastAsia="新細明體" w:hAnsi="新細明體" w:cs="新細明體"/>
          <w:sz w:val="24"/>
          <w:szCs w:val="24"/>
        </w:rPr>
        <w:t>（</w:t>
      </w:r>
      <w:r w:rsidRPr="00D72DA8">
        <w:rPr>
          <w:rFonts w:ascii="Times New Roman" w:eastAsia="新細明體" w:hAnsi="Times New Roman" w:cs="Times New Roman" w:hint="default"/>
          <w:sz w:val="24"/>
          <w:szCs w:val="24"/>
        </w:rPr>
        <w:t>L</w:t>
      </w:r>
      <w:r>
        <w:rPr>
          <w:rFonts w:ascii="新細明體" w:eastAsia="新細明體" w:hAnsi="新細明體" w:cs="新細明體"/>
          <w:sz w:val="24"/>
          <w:szCs w:val="24"/>
        </w:rPr>
        <w:t>）和</w:t>
      </w:r>
      <w:r w:rsidR="00466063" w:rsidRPr="00466063">
        <w:rPr>
          <w:rFonts w:ascii="新細明體" w:eastAsia="新細明體" w:hAnsi="新細明體" w:cs="新細明體"/>
          <w:sz w:val="24"/>
          <w:szCs w:val="24"/>
        </w:rPr>
        <w:t>「</w:t>
      </w:r>
      <w:proofErr w:type="gramStart"/>
      <w:r>
        <w:rPr>
          <w:rFonts w:ascii="新細明體" w:eastAsia="新細明體" w:hAnsi="新細明體" w:cs="新細明體"/>
          <w:sz w:val="24"/>
          <w:szCs w:val="24"/>
        </w:rPr>
        <w:t>毫升</w:t>
      </w:r>
      <w:r w:rsidR="00466063" w:rsidRPr="00466063">
        <w:rPr>
          <w:rFonts w:ascii="新細明體" w:eastAsia="新細明體" w:hAnsi="新細明體" w:cs="新細明體"/>
          <w:sz w:val="24"/>
          <w:szCs w:val="24"/>
        </w:rPr>
        <w:t>」</w:t>
      </w:r>
      <w:proofErr w:type="gramEnd"/>
      <w:r>
        <w:rPr>
          <w:rFonts w:ascii="新細明體" w:eastAsia="新細明體" w:hAnsi="新細明體" w:cs="新細明體"/>
          <w:sz w:val="24"/>
          <w:szCs w:val="24"/>
        </w:rPr>
        <w:t>（</w:t>
      </w:r>
      <w:r w:rsidRPr="00D72DA8">
        <w:rPr>
          <w:rFonts w:ascii="Times New Roman" w:eastAsia="新細明體" w:hAnsi="Times New Roman" w:cs="Times New Roman" w:hint="default"/>
          <w:sz w:val="24"/>
          <w:szCs w:val="24"/>
        </w:rPr>
        <w:t>mL</w:t>
      </w:r>
      <w:r>
        <w:rPr>
          <w:rFonts w:ascii="新細明體" w:eastAsia="新細明體" w:hAnsi="新細明體" w:cs="新細明體"/>
          <w:sz w:val="24"/>
          <w:szCs w:val="24"/>
        </w:rPr>
        <w:t>）的</w:t>
      </w:r>
      <w:r w:rsidR="00451914">
        <w:rPr>
          <w:rFonts w:ascii="新細明體" w:eastAsia="新細明體" w:hAnsi="新細明體" w:cs="新細明體"/>
          <w:sz w:val="24"/>
          <w:szCs w:val="24"/>
        </w:rPr>
        <w:t>分別</w:t>
      </w:r>
      <w:r w:rsidR="00466063">
        <w:rPr>
          <w:rFonts w:ascii="新細明體" w:eastAsia="新細明體" w:hAnsi="新細明體" w:cs="新細明體"/>
          <w:sz w:val="24"/>
          <w:szCs w:val="24"/>
        </w:rPr>
        <w:t>，</w:t>
      </w:r>
      <w:r w:rsidR="00466063" w:rsidRPr="00466063">
        <w:rPr>
          <w:rFonts w:ascii="新細明體" w:eastAsia="新細明體" w:hAnsi="新細明體" w:cs="新細明體"/>
          <w:sz w:val="24"/>
          <w:szCs w:val="24"/>
        </w:rPr>
        <w:t>也可培養</w:t>
      </w:r>
      <w:r w:rsidR="00466063">
        <w:rPr>
          <w:rFonts w:ascii="新細明體" w:eastAsia="新細明體" w:hAnsi="新細明體" w:cs="新細明體"/>
          <w:sz w:val="24"/>
          <w:szCs w:val="24"/>
        </w:rPr>
        <w:t>學生</w:t>
      </w:r>
      <w:r w:rsidR="00466063" w:rsidRPr="00466063">
        <w:rPr>
          <w:rFonts w:ascii="新細明體" w:eastAsia="新細明體" w:hAnsi="新細明體" w:cs="新細明體"/>
          <w:sz w:val="24"/>
          <w:szCs w:val="24"/>
        </w:rPr>
        <w:t>的量感</w:t>
      </w:r>
      <w:r>
        <w:rPr>
          <w:rFonts w:ascii="新細明體" w:eastAsia="新細明體" w:hAnsi="新細明體" w:cs="新細明體"/>
          <w:sz w:val="24"/>
          <w:szCs w:val="24"/>
        </w:rPr>
        <w:t>。</w:t>
      </w:r>
    </w:p>
    <w:p w:rsidR="00F30982" w:rsidRDefault="00F30982">
      <w:pPr>
        <w:pStyle w:val="Default"/>
        <w:rPr>
          <w:rFonts w:ascii="新細明體" w:eastAsia="新細明體" w:hAnsi="新細明體" w:cs="新細明體" w:hint="default"/>
          <w:sz w:val="24"/>
          <w:szCs w:val="24"/>
        </w:rPr>
      </w:pPr>
    </w:p>
    <w:p w:rsidR="00466063" w:rsidRDefault="00466063">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D72DA8" w:rsidRDefault="00D72DA8">
      <w:pPr>
        <w:pStyle w:val="Default"/>
        <w:rPr>
          <w:rFonts w:ascii="新細明體" w:eastAsia="新細明體" w:hAnsi="新細明體" w:cs="新細明體" w:hint="default"/>
          <w:sz w:val="24"/>
          <w:szCs w:val="24"/>
        </w:rPr>
      </w:pPr>
    </w:p>
    <w:p w:rsidR="00F30982" w:rsidRPr="005B6DF8" w:rsidRDefault="008E3B89" w:rsidP="00466063">
      <w:pPr>
        <w:pStyle w:val="Default"/>
        <w:spacing w:after="120"/>
        <w:rPr>
          <w:rFonts w:hint="default"/>
          <w:sz w:val="28"/>
          <w:szCs w:val="28"/>
        </w:rPr>
      </w:pPr>
      <w:r w:rsidRPr="005B6DF8">
        <w:rPr>
          <w:rFonts w:ascii="新細明體" w:eastAsia="新細明體" w:hAnsi="新細明體" w:cs="新細明體"/>
          <w:b/>
          <w:bCs/>
          <w:sz w:val="28"/>
          <w:szCs w:val="28"/>
        </w:rPr>
        <w:t>閲讀有關容量的刻度</w:t>
      </w:r>
    </w:p>
    <w:p w:rsidR="00F30982" w:rsidRDefault="008E3B89">
      <w:pPr>
        <w:pStyle w:val="Default"/>
        <w:numPr>
          <w:ilvl w:val="1"/>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學生曾經閲讀有關長度和重量的刻度，期望</w:t>
      </w:r>
      <w:r w:rsidR="00451914">
        <w:rPr>
          <w:rFonts w:ascii="新細明體" w:eastAsia="新細明體" w:hAnsi="新細明體" w:cs="新細明體"/>
          <w:sz w:val="24"/>
          <w:szCs w:val="24"/>
        </w:rPr>
        <w:t>建基於</w:t>
      </w:r>
      <w:r>
        <w:rPr>
          <w:rFonts w:ascii="新細明體" w:eastAsia="新細明體" w:hAnsi="新細明體" w:cs="新細明體"/>
          <w:sz w:val="24"/>
          <w:szCs w:val="24"/>
        </w:rPr>
        <w:t>這方面的學習經驗</w:t>
      </w:r>
      <w:r w:rsidR="001F4244">
        <w:rPr>
          <w:rFonts w:ascii="新細明體" w:eastAsia="新細明體" w:hAnsi="新細明體" w:cs="新細明體"/>
          <w:sz w:val="24"/>
          <w:szCs w:val="24"/>
        </w:rPr>
        <w:t>，</w:t>
      </w:r>
      <w:r w:rsidR="001F4244">
        <w:rPr>
          <w:rFonts w:ascii="新細明體" w:eastAsia="新細明體" w:hAnsi="新細明體" w:cs="新細明體" w:hint="default"/>
          <w:sz w:val="24"/>
          <w:szCs w:val="24"/>
        </w:rPr>
        <w:t>以</w:t>
      </w:r>
      <w:r w:rsidR="001F4244">
        <w:rPr>
          <w:rFonts w:ascii="新細明體" w:eastAsia="新細明體" w:hAnsi="新細明體" w:cs="新細明體"/>
          <w:sz w:val="24"/>
          <w:szCs w:val="24"/>
        </w:rPr>
        <w:t>及有關</w:t>
      </w:r>
      <w:r w:rsidR="001F4244">
        <w:rPr>
          <w:rFonts w:ascii="新細明體" w:eastAsia="新細明體" w:hAnsi="新細明體" w:cs="新細明體" w:hint="default"/>
          <w:sz w:val="24"/>
          <w:szCs w:val="24"/>
        </w:rPr>
        <w:t>的</w:t>
      </w:r>
      <w:r>
        <w:rPr>
          <w:rFonts w:ascii="新細明體" w:eastAsia="新細明體" w:hAnsi="新細明體" w:cs="新細明體"/>
          <w:sz w:val="24"/>
          <w:szCs w:val="24"/>
        </w:rPr>
        <w:t>知識和技巧</w:t>
      </w:r>
      <w:r w:rsidR="00451914">
        <w:rPr>
          <w:rFonts w:ascii="新細明體" w:eastAsia="新細明體" w:hAnsi="新細明體" w:cs="新細明體"/>
          <w:sz w:val="24"/>
          <w:szCs w:val="24"/>
        </w:rPr>
        <w:t>，</w:t>
      </w:r>
      <w:r>
        <w:rPr>
          <w:rFonts w:ascii="新細明體" w:eastAsia="新細明體" w:hAnsi="新細明體" w:cs="新細明體"/>
          <w:sz w:val="24"/>
          <w:szCs w:val="24"/>
        </w:rPr>
        <w:t>能再次在容量的量度中得到深化。</w:t>
      </w:r>
    </w:p>
    <w:p w:rsidR="00F30982" w:rsidRDefault="00466063" w:rsidP="00F43E2F">
      <w:pPr>
        <w:pStyle w:val="Default"/>
        <w:numPr>
          <w:ilvl w:val="1"/>
          <w:numId w:val="4"/>
        </w:numPr>
        <w:spacing w:before="120"/>
        <w:rPr>
          <w:rFonts w:ascii="新細明體" w:eastAsia="新細明體" w:hAnsi="新細明體" w:cs="新細明體" w:hint="default"/>
          <w:sz w:val="24"/>
          <w:szCs w:val="24"/>
        </w:rPr>
      </w:pPr>
      <w:proofErr w:type="gramStart"/>
      <w:r w:rsidRPr="00466063">
        <w:rPr>
          <w:rFonts w:ascii="新細明體" w:eastAsia="新細明體" w:hAnsi="新細明體" w:cs="新細明體"/>
          <w:sz w:val="24"/>
          <w:szCs w:val="24"/>
        </w:rPr>
        <w:t>《</w:t>
      </w:r>
      <w:proofErr w:type="gramEnd"/>
      <w:r w:rsidR="008E3B89" w:rsidRPr="002C51E1">
        <w:rPr>
          <w:rFonts w:ascii="新細明體" w:eastAsia="新細明體" w:hAnsi="新細明體" w:cs="新細明體"/>
          <w:b/>
          <w:sz w:val="24"/>
          <w:szCs w:val="24"/>
        </w:rPr>
        <w:t>閲讀量杯</w:t>
      </w:r>
      <w:r w:rsidR="00F43E2F">
        <w:rPr>
          <w:rFonts w:ascii="新細明體" w:eastAsia="新細明體" w:hAnsi="新細明體" w:cs="新細明體"/>
          <w:b/>
          <w:sz w:val="24"/>
          <w:szCs w:val="24"/>
          <w:lang w:eastAsia="zh-HK"/>
        </w:rPr>
        <w:t xml:space="preserve"> </w:t>
      </w:r>
      <w:r w:rsidR="00F43E2F" w:rsidRPr="00F43E2F">
        <w:rPr>
          <w:rFonts w:ascii="新細明體" w:eastAsia="新細明體" w:hAnsi="新細明體" w:cs="新細明體"/>
          <w:b/>
          <w:sz w:val="24"/>
          <w:szCs w:val="24"/>
        </w:rPr>
        <w:t>簡報</w:t>
      </w:r>
      <w:r w:rsidRPr="00466063">
        <w:rPr>
          <w:rFonts w:ascii="新細明體" w:eastAsia="新細明體" w:hAnsi="新細明體" w:cs="新細明體"/>
          <w:sz w:val="24"/>
          <w:szCs w:val="24"/>
        </w:rPr>
        <w:t>》</w:t>
      </w:r>
      <w:r w:rsidR="00D72DA8">
        <w:rPr>
          <w:rFonts w:ascii="新細明體" w:eastAsia="新細明體" w:hAnsi="新細明體" w:cs="新細明體"/>
          <w:sz w:val="24"/>
          <w:szCs w:val="24"/>
        </w:rPr>
        <w:t>後半部</w:t>
      </w:r>
      <w:r w:rsidR="008E3B89">
        <w:rPr>
          <w:rFonts w:ascii="新細明體" w:eastAsia="新細明體" w:hAnsi="新細明體" w:cs="新細明體"/>
          <w:sz w:val="24"/>
          <w:szCs w:val="24"/>
        </w:rPr>
        <w:t>強調先從刻度上的基本資料（單位和全刻度的最大容量）和水位的大概位置以對容量作一初步估計。然後再按刻度的標示讀數讀出水位所示容量。基本知識當然包括</w:t>
      </w:r>
      <w:r w:rsidR="008E3B89" w:rsidRPr="00D72DA8">
        <w:rPr>
          <w:rFonts w:ascii="Times New Roman" w:eastAsia="新細明體" w:hAnsi="Times New Roman" w:cs="Times New Roman" w:hint="default"/>
          <w:sz w:val="24"/>
          <w:szCs w:val="24"/>
        </w:rPr>
        <w:t>1</w:t>
      </w:r>
      <w:r w:rsidR="008E3B89">
        <w:rPr>
          <w:rFonts w:ascii="新細明體" w:eastAsia="新細明體" w:hAnsi="新細明體" w:cs="新細明體"/>
          <w:sz w:val="24"/>
          <w:szCs w:val="24"/>
        </w:rPr>
        <w:t>升</w:t>
      </w:r>
      <w:r w:rsidR="00D72DA8" w:rsidRPr="00D72DA8">
        <w:rPr>
          <w:rFonts w:ascii="Times New Roman" w:eastAsia="新細明體" w:hAnsi="Times New Roman" w:cs="Times New Roman" w:hint="default"/>
          <w:sz w:val="24"/>
          <w:szCs w:val="24"/>
        </w:rPr>
        <w:t xml:space="preserve"> </w:t>
      </w:r>
      <w:r w:rsidR="008E3B89" w:rsidRPr="00D72DA8">
        <w:rPr>
          <w:rFonts w:ascii="Times New Roman" w:eastAsia="新細明體" w:hAnsi="Times New Roman" w:cs="Times New Roman" w:hint="default"/>
          <w:sz w:val="24"/>
          <w:szCs w:val="24"/>
        </w:rPr>
        <w:t>＝</w:t>
      </w:r>
      <w:r w:rsidR="008E3B89" w:rsidRPr="00D72DA8">
        <w:rPr>
          <w:rFonts w:ascii="Times New Roman" w:eastAsia="新細明體" w:hAnsi="Times New Roman" w:cs="Times New Roman" w:hint="default"/>
          <w:sz w:val="24"/>
          <w:szCs w:val="24"/>
        </w:rPr>
        <w:t xml:space="preserve"> 1000</w:t>
      </w:r>
      <w:r w:rsidR="008E3B89">
        <w:rPr>
          <w:rFonts w:ascii="新細明體" w:eastAsia="新細明體" w:hAnsi="新細明體" w:cs="新細明體"/>
          <w:sz w:val="24"/>
          <w:szCs w:val="24"/>
        </w:rPr>
        <w:t>毫升。更重要的也是處理刻度的細分，即小</w:t>
      </w:r>
      <w:proofErr w:type="gramStart"/>
      <w:r w:rsidR="008E3B89">
        <w:rPr>
          <w:rFonts w:ascii="新細明體" w:eastAsia="新細明體" w:hAnsi="新細明體" w:cs="新細明體"/>
          <w:sz w:val="24"/>
          <w:szCs w:val="24"/>
        </w:rPr>
        <w:t>格跟大格</w:t>
      </w:r>
      <w:proofErr w:type="gramEnd"/>
      <w:r w:rsidR="008E3B89">
        <w:rPr>
          <w:rFonts w:ascii="新細明體" w:eastAsia="新細明體" w:hAnsi="新細明體" w:cs="新細明體"/>
          <w:sz w:val="24"/>
          <w:szCs w:val="24"/>
        </w:rPr>
        <w:t>的關係。投影片建議了一些提問以引導學生從粗疏的估計到準確地閱讀小格的刻度。</w:t>
      </w:r>
    </w:p>
    <w:p w:rsidR="00F30982" w:rsidRDefault="002C51E1" w:rsidP="00F43E2F">
      <w:pPr>
        <w:pStyle w:val="Default"/>
        <w:numPr>
          <w:ilvl w:val="1"/>
          <w:numId w:val="4"/>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除了簡報</w:t>
      </w:r>
      <w:r w:rsidR="008E3B89">
        <w:rPr>
          <w:rFonts w:ascii="新細明體" w:eastAsia="新細明體" w:hAnsi="新細明體" w:cs="新細明體"/>
          <w:sz w:val="24"/>
          <w:szCs w:val="24"/>
        </w:rPr>
        <w:t>外，本教材也提供</w:t>
      </w:r>
      <w:r w:rsidRPr="00466063">
        <w:rPr>
          <w:rFonts w:ascii="新細明體" w:eastAsia="新細明體" w:hAnsi="新細明體" w:cs="新細明體"/>
          <w:sz w:val="24"/>
          <w:szCs w:val="24"/>
        </w:rPr>
        <w:t>《</w:t>
      </w:r>
      <w:r w:rsidRPr="002C51E1">
        <w:rPr>
          <w:rFonts w:ascii="新細明體" w:eastAsia="新細明體" w:hAnsi="新細明體" w:cs="新細明體"/>
          <w:b/>
          <w:sz w:val="24"/>
          <w:szCs w:val="24"/>
        </w:rPr>
        <w:t>量杯</w:t>
      </w:r>
      <w:r w:rsidR="00F43E2F">
        <w:rPr>
          <w:rFonts w:ascii="新細明體" w:eastAsia="新細明體" w:hAnsi="新細明體" w:cs="新細明體"/>
          <w:b/>
          <w:sz w:val="24"/>
          <w:szCs w:val="24"/>
          <w:lang w:eastAsia="zh-HK"/>
        </w:rPr>
        <w:t xml:space="preserve"> </w:t>
      </w:r>
      <w:r w:rsidR="00F43E2F">
        <w:rPr>
          <w:rFonts w:ascii="新細明體" w:eastAsia="新細明體" w:hAnsi="新細明體" w:cs="新細明體"/>
          <w:b/>
          <w:sz w:val="24"/>
          <w:szCs w:val="24"/>
        </w:rPr>
        <w:t>(</w:t>
      </w:r>
      <w:r w:rsidR="00F43E2F" w:rsidRPr="00F43E2F">
        <w:rPr>
          <w:rFonts w:ascii="新細明體" w:eastAsia="新細明體" w:hAnsi="新細明體" w:cs="新細明體"/>
          <w:b/>
          <w:sz w:val="24"/>
          <w:szCs w:val="24"/>
        </w:rPr>
        <w:t>GeoGebra檔</w:t>
      </w:r>
      <w:r w:rsidR="00F43E2F">
        <w:rPr>
          <w:rFonts w:ascii="新細明體" w:eastAsia="新細明體" w:hAnsi="新細明體" w:cs="新細明體"/>
          <w:b/>
          <w:sz w:val="24"/>
          <w:szCs w:val="24"/>
          <w:lang w:eastAsia="zh-HK"/>
        </w:rPr>
        <w:t>)</w:t>
      </w:r>
      <w:r w:rsidRPr="00466063">
        <w:rPr>
          <w:rFonts w:ascii="新細明體" w:eastAsia="新細明體" w:hAnsi="新細明體" w:cs="新細明體"/>
          <w:sz w:val="24"/>
          <w:szCs w:val="24"/>
        </w:rPr>
        <w:t>》</w:t>
      </w:r>
      <w:r w:rsidR="008E3B89">
        <w:rPr>
          <w:rFonts w:ascii="新細明體" w:eastAsia="新細明體" w:hAnsi="新細明體" w:cs="新細明體"/>
          <w:sz w:val="24"/>
          <w:szCs w:val="24"/>
        </w:rPr>
        <w:t>，可供老師在講解閲讀刻度時使用，更靈活地改變細分刻度以幫助學生明白其中的概念和技巧。</w:t>
      </w:r>
      <w:bookmarkStart w:id="0" w:name="_GoBack"/>
      <w:bookmarkEnd w:id="0"/>
    </w:p>
    <w:p w:rsidR="00F30982" w:rsidRDefault="008E3B89" w:rsidP="00466063">
      <w:pPr>
        <w:pStyle w:val="Default"/>
        <w:numPr>
          <w:ilvl w:val="1"/>
          <w:numId w:val="4"/>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老師亦可考慮使用</w:t>
      </w:r>
      <w:proofErr w:type="gramStart"/>
      <w:r w:rsidR="002C51E1" w:rsidRPr="00466063">
        <w:rPr>
          <w:rFonts w:ascii="新細明體" w:eastAsia="新細明體" w:hAnsi="新細明體" w:cs="新細明體"/>
          <w:sz w:val="24"/>
          <w:szCs w:val="24"/>
        </w:rPr>
        <w:t>《</w:t>
      </w:r>
      <w:r w:rsidR="002C51E1" w:rsidRPr="002C51E1">
        <w:rPr>
          <w:rFonts w:ascii="新細明體" w:eastAsia="新細明體" w:hAnsi="新細明體" w:cs="新細明體"/>
          <w:b/>
          <w:sz w:val="24"/>
          <w:szCs w:val="24"/>
        </w:rPr>
        <w:t>量杯</w:t>
      </w:r>
      <w:r w:rsidR="00F43E2F">
        <w:rPr>
          <w:rFonts w:ascii="新細明體" w:eastAsia="新細明體" w:hAnsi="新細明體" w:cs="新細明體"/>
          <w:b/>
          <w:sz w:val="24"/>
          <w:szCs w:val="24"/>
          <w:lang w:eastAsia="zh-HK"/>
        </w:rPr>
        <w:t xml:space="preserve"> </w:t>
      </w:r>
      <w:r w:rsidR="00F43E2F">
        <w:rPr>
          <w:rFonts w:ascii="新細明體" w:eastAsia="新細明體" w:hAnsi="新細明體" w:cs="新細明體"/>
          <w:b/>
          <w:sz w:val="24"/>
          <w:szCs w:val="24"/>
        </w:rPr>
        <w:t>(</w:t>
      </w:r>
      <w:r w:rsidR="00F43E2F" w:rsidRPr="00F43E2F">
        <w:rPr>
          <w:rFonts w:ascii="新細明體" w:eastAsia="新細明體" w:hAnsi="新細明體" w:cs="新細明體"/>
          <w:b/>
          <w:sz w:val="24"/>
          <w:szCs w:val="24"/>
        </w:rPr>
        <w:t>GeoGebra檔</w:t>
      </w:r>
      <w:r w:rsidR="00F43E2F">
        <w:rPr>
          <w:rFonts w:ascii="新細明體" w:eastAsia="新細明體" w:hAnsi="新細明體" w:cs="新細明體"/>
          <w:b/>
          <w:sz w:val="24"/>
          <w:szCs w:val="24"/>
          <w:lang w:eastAsia="zh-HK"/>
        </w:rPr>
        <w:t>)</w:t>
      </w:r>
      <w:r w:rsidR="002C51E1" w:rsidRPr="00466063">
        <w:rPr>
          <w:rFonts w:ascii="新細明體" w:eastAsia="新細明體" w:hAnsi="新細明體" w:cs="新細明體"/>
          <w:sz w:val="24"/>
          <w:szCs w:val="24"/>
        </w:rPr>
        <w:t>》</w:t>
      </w:r>
      <w:r>
        <w:rPr>
          <w:rFonts w:ascii="新細明體" w:eastAsia="新細明體" w:hAnsi="新細明體" w:cs="新細明體"/>
          <w:sz w:val="24"/>
          <w:szCs w:val="24"/>
        </w:rPr>
        <w:t>於課前</w:t>
      </w:r>
      <w:proofErr w:type="gramEnd"/>
      <w:r>
        <w:rPr>
          <w:rFonts w:ascii="新細明體" w:eastAsia="新細明體" w:hAnsi="新細明體" w:cs="新細明體"/>
          <w:sz w:val="24"/>
          <w:szCs w:val="24"/>
        </w:rPr>
        <w:t>設計一系列的例子，</w:t>
      </w:r>
      <w:r w:rsidR="00451914">
        <w:rPr>
          <w:rFonts w:ascii="新細明體" w:eastAsia="新細明體" w:hAnsi="新細明體" w:cs="新細明體"/>
          <w:sz w:val="24"/>
          <w:szCs w:val="24"/>
        </w:rPr>
        <w:t>製作</w:t>
      </w:r>
      <w:r>
        <w:rPr>
          <w:rFonts w:ascii="新細明體" w:eastAsia="新細明體" w:hAnsi="新細明體" w:cs="新細明體"/>
          <w:sz w:val="24"/>
          <w:szCs w:val="24"/>
        </w:rPr>
        <w:t>成圖像之後加入</w:t>
      </w:r>
      <w:r w:rsidR="00D72DA8">
        <w:rPr>
          <w:rFonts w:ascii="新細明體" w:eastAsia="新細明體" w:hAnsi="新細明體" w:cs="新細明體"/>
          <w:sz w:val="24"/>
          <w:szCs w:val="24"/>
        </w:rPr>
        <w:t>簡報</w:t>
      </w:r>
      <w:r>
        <w:rPr>
          <w:rFonts w:ascii="新細明體" w:eastAsia="新細明體" w:hAnsi="新細明體" w:cs="新細明體"/>
          <w:sz w:val="24"/>
          <w:szCs w:val="24"/>
        </w:rPr>
        <w:t>內使用。</w:t>
      </w:r>
    </w:p>
    <w:p w:rsidR="00F30982" w:rsidRDefault="00F30982">
      <w:pPr>
        <w:pStyle w:val="Default"/>
        <w:rPr>
          <w:rFonts w:hint="default"/>
        </w:rPr>
      </w:pPr>
    </w:p>
    <w:sectPr w:rsidR="00F30982">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06" w:rsidRDefault="007C2A06">
      <w:r>
        <w:separator/>
      </w:r>
    </w:p>
  </w:endnote>
  <w:endnote w:type="continuationSeparator" w:id="0">
    <w:p w:rsidR="007C2A06" w:rsidRDefault="007C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16261"/>
      <w:docPartObj>
        <w:docPartGallery w:val="Page Numbers (Bottom of Page)"/>
        <w:docPartUnique/>
      </w:docPartObj>
    </w:sdtPr>
    <w:sdtEndPr/>
    <w:sdtContent>
      <w:p w:rsidR="003E49C4" w:rsidRDefault="003E49C4">
        <w:pPr>
          <w:pStyle w:val="a6"/>
          <w:jc w:val="center"/>
        </w:pPr>
        <w:r>
          <w:fldChar w:fldCharType="begin"/>
        </w:r>
        <w:r>
          <w:instrText>PAGE   \* MERGEFORMAT</w:instrText>
        </w:r>
        <w:r>
          <w:fldChar w:fldCharType="separate"/>
        </w:r>
        <w:r w:rsidR="00451914" w:rsidRPr="00451914">
          <w:rPr>
            <w:noProof/>
            <w:lang w:val="zh-TW" w:eastAsia="zh-TW"/>
          </w:rPr>
          <w:t>3</w:t>
        </w:r>
        <w:r>
          <w:fldChar w:fldCharType="end"/>
        </w:r>
      </w:p>
    </w:sdtContent>
  </w:sdt>
  <w:p w:rsidR="003E49C4" w:rsidRDefault="003E49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06" w:rsidRDefault="007C2A06">
      <w:r>
        <w:separator/>
      </w:r>
    </w:p>
  </w:footnote>
  <w:footnote w:type="continuationSeparator" w:id="0">
    <w:p w:rsidR="007C2A06" w:rsidRDefault="007C2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3396"/>
    <w:multiLevelType w:val="hybridMultilevel"/>
    <w:tmpl w:val="7B62BA1C"/>
    <w:lvl w:ilvl="0" w:tplc="04090003">
      <w:start w:val="1"/>
      <w:numFmt w:val="bullet"/>
      <w:lvlText w:val="o"/>
      <w:lvlJc w:val="left"/>
      <w:pPr>
        <w:ind w:left="540" w:hanging="54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20DA04">
      <w:start w:val="1"/>
      <w:numFmt w:val="bullet"/>
      <w:lvlText w:val="·"/>
      <w:lvlJc w:val="left"/>
      <w:pPr>
        <w:ind w:left="18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3A16A2">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0B884">
      <w:start w:val="1"/>
      <w:numFmt w:val="bullet"/>
      <w:lvlText w:val="·"/>
      <w:lvlJc w:val="left"/>
      <w:pPr>
        <w:ind w:left="270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2A02BA">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D49038">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4859C">
      <w:start w:val="1"/>
      <w:numFmt w:val="bullet"/>
      <w:lvlText w:val="·"/>
      <w:lvlJc w:val="left"/>
      <w:pPr>
        <w:ind w:left="486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AF408">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1E43B6">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2741648"/>
    <w:multiLevelType w:val="hybridMultilevel"/>
    <w:tmpl w:val="A1A6DDD0"/>
    <w:numStyleLink w:val="ImportedStyle2"/>
  </w:abstractNum>
  <w:abstractNum w:abstractNumId="2">
    <w:nsid w:val="13DA58F2"/>
    <w:multiLevelType w:val="hybridMultilevel"/>
    <w:tmpl w:val="19C61532"/>
    <w:numStyleLink w:val="ImportedStyle3"/>
  </w:abstractNum>
  <w:abstractNum w:abstractNumId="3">
    <w:nsid w:val="2CA0258C"/>
    <w:multiLevelType w:val="hybridMultilevel"/>
    <w:tmpl w:val="4EC693CC"/>
    <w:numStyleLink w:val="ImportedStyle1"/>
  </w:abstractNum>
  <w:abstractNum w:abstractNumId="4">
    <w:nsid w:val="3F013A23"/>
    <w:multiLevelType w:val="hybridMultilevel"/>
    <w:tmpl w:val="3692C5A0"/>
    <w:styleLink w:val="ImportedStyle4"/>
    <w:lvl w:ilvl="0" w:tplc="18387D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4A1C4">
      <w:start w:val="1"/>
      <w:numFmt w:val="bullet"/>
      <w:lvlText w:val="·"/>
      <w:lvlJc w:val="left"/>
      <w:pPr>
        <w:ind w:left="5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42AEE">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D8F062">
      <w:start w:val="1"/>
      <w:numFmt w:val="bullet"/>
      <w:lvlText w:val="·"/>
      <w:lvlJc w:val="left"/>
      <w:pPr>
        <w:ind w:left="198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9CDD10">
      <w:start w:val="1"/>
      <w:numFmt w:val="bullet"/>
      <w:lvlText w:val="o"/>
      <w:lvlJc w:val="left"/>
      <w:pPr>
        <w:ind w:left="27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04DA6">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8BD3C">
      <w:start w:val="1"/>
      <w:numFmt w:val="bullet"/>
      <w:lvlText w:val="·"/>
      <w:lvlJc w:val="left"/>
      <w:pPr>
        <w:ind w:left="41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D68CAE">
      <w:start w:val="1"/>
      <w:numFmt w:val="bullet"/>
      <w:lvlText w:val="o"/>
      <w:lvlJc w:val="left"/>
      <w:pPr>
        <w:ind w:left="48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05478">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67F3D2D"/>
    <w:multiLevelType w:val="hybridMultilevel"/>
    <w:tmpl w:val="3692C5A0"/>
    <w:numStyleLink w:val="ImportedStyle4"/>
  </w:abstractNum>
  <w:abstractNum w:abstractNumId="6">
    <w:nsid w:val="59903A37"/>
    <w:multiLevelType w:val="hybridMultilevel"/>
    <w:tmpl w:val="19C61532"/>
    <w:styleLink w:val="ImportedStyle3"/>
    <w:lvl w:ilvl="0" w:tplc="8D7C499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9E372A">
      <w:start w:val="1"/>
      <w:numFmt w:val="bullet"/>
      <w:lvlText w:val="·"/>
      <w:lvlJc w:val="left"/>
      <w:pPr>
        <w:ind w:left="5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AD442">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8E454">
      <w:start w:val="1"/>
      <w:numFmt w:val="bullet"/>
      <w:lvlText w:val="·"/>
      <w:lvlJc w:val="left"/>
      <w:pPr>
        <w:ind w:left="198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0A848">
      <w:start w:val="1"/>
      <w:numFmt w:val="bullet"/>
      <w:lvlText w:val="o"/>
      <w:lvlJc w:val="left"/>
      <w:pPr>
        <w:ind w:left="27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2E81C">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9E029E">
      <w:start w:val="1"/>
      <w:numFmt w:val="bullet"/>
      <w:lvlText w:val="·"/>
      <w:lvlJc w:val="left"/>
      <w:pPr>
        <w:ind w:left="41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0C77CA">
      <w:start w:val="1"/>
      <w:numFmt w:val="bullet"/>
      <w:lvlText w:val="o"/>
      <w:lvlJc w:val="left"/>
      <w:pPr>
        <w:ind w:left="48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AC61A">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54850B1"/>
    <w:multiLevelType w:val="hybridMultilevel"/>
    <w:tmpl w:val="A1A6DDD0"/>
    <w:styleLink w:val="ImportedStyle2"/>
    <w:lvl w:ilvl="0" w:tplc="FEA48066">
      <w:start w:val="1"/>
      <w:numFmt w:val="bullet"/>
      <w:lvlText w:val="·"/>
      <w:lvlJc w:val="left"/>
      <w:pPr>
        <w:ind w:left="5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A0A1C">
      <w:start w:val="1"/>
      <w:numFmt w:val="bullet"/>
      <w:lvlText w:val="·"/>
      <w:lvlJc w:val="left"/>
      <w:pPr>
        <w:ind w:left="5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02B6F8">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467BC">
      <w:start w:val="1"/>
      <w:numFmt w:val="bullet"/>
      <w:lvlText w:val="·"/>
      <w:lvlJc w:val="left"/>
      <w:pPr>
        <w:ind w:left="198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4E2090">
      <w:start w:val="1"/>
      <w:numFmt w:val="bullet"/>
      <w:lvlText w:val="o"/>
      <w:lvlJc w:val="left"/>
      <w:pPr>
        <w:ind w:left="27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A2BBC">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2722C">
      <w:start w:val="1"/>
      <w:numFmt w:val="bullet"/>
      <w:lvlText w:val="·"/>
      <w:lvlJc w:val="left"/>
      <w:pPr>
        <w:ind w:left="41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E6D568">
      <w:start w:val="1"/>
      <w:numFmt w:val="bullet"/>
      <w:lvlText w:val="o"/>
      <w:lvlJc w:val="left"/>
      <w:pPr>
        <w:ind w:left="48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5E059A">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872118E"/>
    <w:multiLevelType w:val="hybridMultilevel"/>
    <w:tmpl w:val="4EC693CC"/>
    <w:styleLink w:val="ImportedStyle1"/>
    <w:lvl w:ilvl="0" w:tplc="6884F882">
      <w:start w:val="1"/>
      <w:numFmt w:val="bullet"/>
      <w:lvlText w:val="·"/>
      <w:lvlJc w:val="left"/>
      <w:pPr>
        <w:ind w:left="5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A6782">
      <w:start w:val="1"/>
      <w:numFmt w:val="bullet"/>
      <w:lvlText w:val="·"/>
      <w:lvlJc w:val="left"/>
      <w:pPr>
        <w:ind w:left="18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8C7DF4">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2FC4A">
      <w:start w:val="1"/>
      <w:numFmt w:val="bullet"/>
      <w:lvlText w:val="·"/>
      <w:lvlJc w:val="left"/>
      <w:pPr>
        <w:ind w:left="270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08EE40">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E1A40">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84DE6">
      <w:start w:val="1"/>
      <w:numFmt w:val="bullet"/>
      <w:lvlText w:val="·"/>
      <w:lvlJc w:val="left"/>
      <w:pPr>
        <w:ind w:left="486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50896E">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2C340C">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3"/>
  </w:num>
  <w:num w:numId="3">
    <w:abstractNumId w:val="7"/>
  </w:num>
  <w:num w:numId="4">
    <w:abstractNumId w:val="1"/>
  </w:num>
  <w:num w:numId="5">
    <w:abstractNumId w:val="6"/>
  </w:num>
  <w:num w:numId="6">
    <w:abstractNumId w:val="2"/>
  </w:num>
  <w:num w:numId="7">
    <w:abstractNumId w:val="4"/>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G, Yuen-ying Christina">
    <w15:presenceInfo w15:providerId="AD" w15:userId="S-1-5-21-2637006528-1015924553-1750768987-63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82"/>
    <w:rsid w:val="00021D24"/>
    <w:rsid w:val="00063C8F"/>
    <w:rsid w:val="000F3EA4"/>
    <w:rsid w:val="00111842"/>
    <w:rsid w:val="00156654"/>
    <w:rsid w:val="001D3EE2"/>
    <w:rsid w:val="001F4244"/>
    <w:rsid w:val="00260E36"/>
    <w:rsid w:val="002C51E1"/>
    <w:rsid w:val="002C624B"/>
    <w:rsid w:val="003E49C4"/>
    <w:rsid w:val="004440DF"/>
    <w:rsid w:val="00451914"/>
    <w:rsid w:val="00466063"/>
    <w:rsid w:val="004B31C5"/>
    <w:rsid w:val="004B3AB6"/>
    <w:rsid w:val="004E30B8"/>
    <w:rsid w:val="004F0C53"/>
    <w:rsid w:val="00520695"/>
    <w:rsid w:val="005B6DF8"/>
    <w:rsid w:val="005F0C01"/>
    <w:rsid w:val="00786476"/>
    <w:rsid w:val="007C2A06"/>
    <w:rsid w:val="007C42F5"/>
    <w:rsid w:val="007E16AC"/>
    <w:rsid w:val="00813B6E"/>
    <w:rsid w:val="008C592B"/>
    <w:rsid w:val="008E341D"/>
    <w:rsid w:val="008E3B89"/>
    <w:rsid w:val="0098180E"/>
    <w:rsid w:val="00B37EAA"/>
    <w:rsid w:val="00D200B2"/>
    <w:rsid w:val="00D72DA8"/>
    <w:rsid w:val="00DB482C"/>
    <w:rsid w:val="00E45C5F"/>
    <w:rsid w:val="00E916B2"/>
    <w:rsid w:val="00EB2A00"/>
    <w:rsid w:val="00F30982"/>
    <w:rsid w:val="00F43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rial Unicode MS" w:hAnsi="Arial Unicode MS" w:cs="Arial Unicode MS" w:hint="eastAsia"/>
      <w:color w:val="000000"/>
      <w:sz w:val="22"/>
      <w:szCs w:val="22"/>
      <w:u w:color="000000"/>
      <w:lang w:val="zh-TW"/>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a4">
    <w:name w:val="header"/>
    <w:basedOn w:val="a"/>
    <w:link w:val="a5"/>
    <w:uiPriority w:val="99"/>
    <w:unhideWhenUsed/>
    <w:rsid w:val="00063C8F"/>
    <w:pPr>
      <w:tabs>
        <w:tab w:val="center" w:pos="4153"/>
        <w:tab w:val="right" w:pos="8306"/>
      </w:tabs>
      <w:snapToGrid w:val="0"/>
    </w:pPr>
    <w:rPr>
      <w:sz w:val="20"/>
      <w:szCs w:val="20"/>
    </w:rPr>
  </w:style>
  <w:style w:type="character" w:customStyle="1" w:styleId="a5">
    <w:name w:val="頁首 字元"/>
    <w:basedOn w:val="a0"/>
    <w:link w:val="a4"/>
    <w:uiPriority w:val="99"/>
    <w:rsid w:val="00063C8F"/>
    <w:rPr>
      <w:lang w:eastAsia="en-US"/>
    </w:rPr>
  </w:style>
  <w:style w:type="paragraph" w:styleId="a6">
    <w:name w:val="footer"/>
    <w:basedOn w:val="a"/>
    <w:link w:val="a7"/>
    <w:uiPriority w:val="99"/>
    <w:unhideWhenUsed/>
    <w:rsid w:val="00063C8F"/>
    <w:pPr>
      <w:tabs>
        <w:tab w:val="center" w:pos="4153"/>
        <w:tab w:val="right" w:pos="8306"/>
      </w:tabs>
      <w:snapToGrid w:val="0"/>
    </w:pPr>
    <w:rPr>
      <w:sz w:val="20"/>
      <w:szCs w:val="20"/>
    </w:rPr>
  </w:style>
  <w:style w:type="character" w:customStyle="1" w:styleId="a7">
    <w:name w:val="頁尾 字元"/>
    <w:basedOn w:val="a0"/>
    <w:link w:val="a6"/>
    <w:uiPriority w:val="99"/>
    <w:rsid w:val="00063C8F"/>
    <w:rPr>
      <w:lang w:eastAsia="en-US"/>
    </w:rPr>
  </w:style>
  <w:style w:type="paragraph" w:styleId="a8">
    <w:name w:val="Balloon Text"/>
    <w:basedOn w:val="a"/>
    <w:link w:val="a9"/>
    <w:uiPriority w:val="99"/>
    <w:semiHidden/>
    <w:unhideWhenUsed/>
    <w:rsid w:val="003E49C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49C4"/>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rial Unicode MS" w:hAnsi="Arial Unicode MS" w:cs="Arial Unicode MS" w:hint="eastAsia"/>
      <w:color w:val="000000"/>
      <w:sz w:val="22"/>
      <w:szCs w:val="22"/>
      <w:u w:color="000000"/>
      <w:lang w:val="zh-TW"/>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a4">
    <w:name w:val="header"/>
    <w:basedOn w:val="a"/>
    <w:link w:val="a5"/>
    <w:uiPriority w:val="99"/>
    <w:unhideWhenUsed/>
    <w:rsid w:val="00063C8F"/>
    <w:pPr>
      <w:tabs>
        <w:tab w:val="center" w:pos="4153"/>
        <w:tab w:val="right" w:pos="8306"/>
      </w:tabs>
      <w:snapToGrid w:val="0"/>
    </w:pPr>
    <w:rPr>
      <w:sz w:val="20"/>
      <w:szCs w:val="20"/>
    </w:rPr>
  </w:style>
  <w:style w:type="character" w:customStyle="1" w:styleId="a5">
    <w:name w:val="頁首 字元"/>
    <w:basedOn w:val="a0"/>
    <w:link w:val="a4"/>
    <w:uiPriority w:val="99"/>
    <w:rsid w:val="00063C8F"/>
    <w:rPr>
      <w:lang w:eastAsia="en-US"/>
    </w:rPr>
  </w:style>
  <w:style w:type="paragraph" w:styleId="a6">
    <w:name w:val="footer"/>
    <w:basedOn w:val="a"/>
    <w:link w:val="a7"/>
    <w:uiPriority w:val="99"/>
    <w:unhideWhenUsed/>
    <w:rsid w:val="00063C8F"/>
    <w:pPr>
      <w:tabs>
        <w:tab w:val="center" w:pos="4153"/>
        <w:tab w:val="right" w:pos="8306"/>
      </w:tabs>
      <w:snapToGrid w:val="0"/>
    </w:pPr>
    <w:rPr>
      <w:sz w:val="20"/>
      <w:szCs w:val="20"/>
    </w:rPr>
  </w:style>
  <w:style w:type="character" w:customStyle="1" w:styleId="a7">
    <w:name w:val="頁尾 字元"/>
    <w:basedOn w:val="a0"/>
    <w:link w:val="a6"/>
    <w:uiPriority w:val="99"/>
    <w:rsid w:val="00063C8F"/>
    <w:rPr>
      <w:lang w:eastAsia="en-US"/>
    </w:rPr>
  </w:style>
  <w:style w:type="paragraph" w:styleId="a8">
    <w:name w:val="Balloon Text"/>
    <w:basedOn w:val="a"/>
    <w:link w:val="a9"/>
    <w:uiPriority w:val="99"/>
    <w:semiHidden/>
    <w:unhideWhenUsed/>
    <w:rsid w:val="003E49C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49C4"/>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Yuen-ying Christina</dc:creator>
  <cp:lastModifiedBy>FONG, Chong-sun Martin</cp:lastModifiedBy>
  <cp:revision>9</cp:revision>
  <cp:lastPrinted>2018-03-08T09:24:00Z</cp:lastPrinted>
  <dcterms:created xsi:type="dcterms:W3CDTF">2018-03-08T06:43:00Z</dcterms:created>
  <dcterms:modified xsi:type="dcterms:W3CDTF">2018-08-07T08:06:00Z</dcterms:modified>
</cp:coreProperties>
</file>