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3258" w14:textId="78046BFF" w:rsidR="00F276B3" w:rsidRPr="00F37082" w:rsidRDefault="00F122F3" w:rsidP="00F276B3">
      <w:pPr>
        <w:pStyle w:val="Title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DFKai-SB"/>
          <w:szCs w:val="44"/>
        </w:rPr>
      </w:pPr>
      <w:r w:rsidRPr="00F122F3">
        <w:rPr>
          <w:rFonts w:hint="eastAsia"/>
          <w:bCs w:val="0"/>
          <w:spacing w:val="150"/>
          <w:szCs w:val="44"/>
        </w:rPr>
        <w:t>估計計算結果</w:t>
      </w:r>
    </w:p>
    <w:p w14:paraId="30EE5D78" w14:textId="77777777" w:rsidR="00230ADF" w:rsidRPr="00F37082" w:rsidRDefault="00230ADF">
      <w:pPr>
        <w:snapToGrid w:val="0"/>
        <w:spacing w:line="240" w:lineRule="atLeast"/>
        <w:jc w:val="center"/>
        <w:rPr>
          <w:rFonts w:ascii="DFKai-SB" w:eastAsia="DFKai-SB" w:hAnsi="DFKai-SB"/>
          <w:sz w:val="28"/>
        </w:rPr>
      </w:pPr>
    </w:p>
    <w:p w14:paraId="4384960A" w14:textId="77777777" w:rsidR="005D4D3C" w:rsidRPr="00F37082" w:rsidRDefault="00DB1A65">
      <w:pPr>
        <w:snapToGrid w:val="0"/>
        <w:spacing w:line="240" w:lineRule="atLeast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學習階段：</w:t>
      </w:r>
      <w:r w:rsidRPr="00F37082">
        <w:rPr>
          <w:rFonts w:ascii="DFKai-SB" w:eastAsia="DFKai-SB" w:hAnsi="DFKai-SB"/>
          <w:sz w:val="28"/>
        </w:rPr>
        <w:tab/>
      </w:r>
      <w:r w:rsidRPr="00F37082">
        <w:rPr>
          <w:rFonts w:ascii="DFKai-SB" w:eastAsia="DFKai-SB" w:hAnsi="DFKai-SB" w:hint="eastAsia"/>
          <w:sz w:val="28"/>
        </w:rPr>
        <w:t>二</w:t>
      </w:r>
    </w:p>
    <w:p w14:paraId="507CE87B" w14:textId="77777777" w:rsidR="00F1300E" w:rsidRPr="00F37082" w:rsidRDefault="00DB1A65">
      <w:pPr>
        <w:snapToGrid w:val="0"/>
        <w:spacing w:line="240" w:lineRule="atLeast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學習範疇：</w:t>
      </w:r>
      <w:r w:rsidRPr="00F37082">
        <w:rPr>
          <w:rFonts w:ascii="DFKai-SB" w:eastAsia="DFKai-SB" w:hAnsi="DFKai-SB"/>
          <w:sz w:val="28"/>
        </w:rPr>
        <w:tab/>
      </w:r>
      <w:r w:rsidRPr="00F37082">
        <w:rPr>
          <w:rFonts w:ascii="DFKai-SB" w:eastAsia="DFKai-SB" w:hAnsi="DFKai-SB" w:hint="eastAsia"/>
          <w:sz w:val="28"/>
        </w:rPr>
        <w:t>數</w:t>
      </w:r>
    </w:p>
    <w:p w14:paraId="62EF9145" w14:textId="77777777" w:rsidR="00F1300E" w:rsidRPr="00F37082" w:rsidRDefault="00DB1A65">
      <w:pPr>
        <w:snapToGrid w:val="0"/>
        <w:spacing w:line="240" w:lineRule="atLeast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學習單元：</w:t>
      </w:r>
      <w:r w:rsidRPr="00F37082">
        <w:rPr>
          <w:rFonts w:ascii="DFKai-SB" w:eastAsia="DFKai-SB" w:hAnsi="DFKai-SB"/>
          <w:sz w:val="28"/>
        </w:rPr>
        <w:tab/>
      </w:r>
      <w:r w:rsidRPr="00F37082">
        <w:rPr>
          <w:rFonts w:ascii="DFKai-SB" w:eastAsia="DFKai-SB" w:hAnsi="DFKai-SB" w:hint="eastAsia"/>
          <w:sz w:val="28"/>
        </w:rPr>
        <w:t>四則計算</w:t>
      </w:r>
    </w:p>
    <w:p w14:paraId="1BA4F510" w14:textId="77777777" w:rsidR="00230ADF" w:rsidRPr="00F37082" w:rsidRDefault="00DB1A65">
      <w:pPr>
        <w:snapToGrid w:val="0"/>
        <w:spacing w:line="240" w:lineRule="atLeast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基本能力：</w:t>
      </w:r>
      <w:r w:rsidRPr="00F37082">
        <w:rPr>
          <w:rFonts w:eastAsia="DFKai-SB"/>
          <w:sz w:val="28"/>
        </w:rPr>
        <w:tab/>
        <w:t>KS2-N5-6</w:t>
      </w:r>
    </w:p>
    <w:p w14:paraId="225A16FE" w14:textId="77777777" w:rsidR="004D0C0B" w:rsidRPr="00F37082" w:rsidRDefault="00DB1A65" w:rsidP="002073C4">
      <w:pPr>
        <w:snapToGrid w:val="0"/>
        <w:spacing w:line="240" w:lineRule="atLeast"/>
        <w:ind w:leftChars="590" w:left="1416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/>
          <w:sz w:val="28"/>
        </w:rPr>
        <w:tab/>
      </w:r>
      <w:r w:rsidR="00915192" w:rsidRPr="00F37082">
        <w:rPr>
          <w:rFonts w:ascii="DFKai-SB" w:eastAsia="DFKai-SB" w:hAnsi="DFKai-SB" w:hint="eastAsia"/>
          <w:sz w:val="28"/>
        </w:rPr>
        <w:t>估計計算結果</w:t>
      </w:r>
    </w:p>
    <w:p w14:paraId="7530E03E" w14:textId="77777777" w:rsidR="00230ADF" w:rsidRPr="00F37082" w:rsidRDefault="00230ADF" w:rsidP="004D0C0B">
      <w:pPr>
        <w:snapToGrid w:val="0"/>
        <w:spacing w:line="240" w:lineRule="atLeast"/>
        <w:jc w:val="both"/>
        <w:rPr>
          <w:rFonts w:ascii="DFKai-SB" w:eastAsia="DFKai-SB" w:hAnsi="DFKai-SB"/>
          <w:sz w:val="12"/>
          <w:szCs w:val="12"/>
        </w:rPr>
      </w:pPr>
    </w:p>
    <w:p w14:paraId="6F179FC9" w14:textId="77777777" w:rsidR="00230ADF" w:rsidRPr="00F37082" w:rsidRDefault="00DB1A65">
      <w:pPr>
        <w:snapToGrid w:val="0"/>
        <w:spacing w:line="240" w:lineRule="atLeast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教學目標：</w:t>
      </w:r>
    </w:p>
    <w:p w14:paraId="7859C632" w14:textId="77777777" w:rsidR="00230ADF" w:rsidRPr="00F37082" w:rsidRDefault="00DB1A65" w:rsidP="002073C4">
      <w:pPr>
        <w:pStyle w:val="ListParagraph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讓學生明白估算的目的，並鼓勵學生使用估算法解決日常生活問題。</w:t>
      </w:r>
    </w:p>
    <w:p w14:paraId="271566D3" w14:textId="77777777" w:rsidR="002073C4" w:rsidRPr="00F37082" w:rsidRDefault="00DB1A65" w:rsidP="002073C4">
      <w:pPr>
        <w:pStyle w:val="ListParagraph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讓學生掌握估算的基本技巧。</w:t>
      </w:r>
    </w:p>
    <w:p w14:paraId="7B166D76" w14:textId="77777777" w:rsidR="0093727C" w:rsidRPr="00F37082" w:rsidRDefault="0093727C">
      <w:pPr>
        <w:snapToGrid w:val="0"/>
        <w:spacing w:line="240" w:lineRule="atLeast"/>
        <w:jc w:val="both"/>
        <w:rPr>
          <w:rFonts w:ascii="DFKai-SB" w:eastAsia="DFKai-SB" w:hAnsi="DFKai-SB"/>
          <w:sz w:val="28"/>
        </w:rPr>
      </w:pPr>
    </w:p>
    <w:p w14:paraId="26724CA4" w14:textId="77777777" w:rsidR="00A20636" w:rsidRPr="00F37082" w:rsidRDefault="00DB1A65" w:rsidP="00A20636">
      <w:pPr>
        <w:snapToGrid w:val="0"/>
        <w:spacing w:line="240" w:lineRule="atLeast"/>
        <w:jc w:val="both"/>
        <w:rPr>
          <w:rFonts w:ascii="DFKai-SB" w:eastAsia="DFKai-SB" w:hAnsi="DFKai-SB"/>
          <w:sz w:val="28"/>
        </w:rPr>
      </w:pPr>
      <w:r w:rsidRPr="00F37082">
        <w:rPr>
          <w:rFonts w:ascii="DFKai-SB" w:eastAsia="DFKai-SB" w:hAnsi="DFKai-SB" w:hint="eastAsia"/>
          <w:sz w:val="28"/>
        </w:rPr>
        <w:t>教學建議：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7258"/>
        <w:gridCol w:w="1985"/>
      </w:tblGrid>
      <w:tr w:rsidR="003B7182" w:rsidRPr="00F37082" w14:paraId="4E33B4E7" w14:textId="77777777" w:rsidTr="00F3708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30453" w14:textId="77777777" w:rsidR="003B7182" w:rsidRPr="00F37082" w:rsidRDefault="00DB1A65" w:rsidP="001D20BC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教學環節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85" w:type="dxa"/>
            </w:tcMar>
            <w:hideMark/>
          </w:tcPr>
          <w:p w14:paraId="4AF9A856" w14:textId="77777777" w:rsidR="003B7182" w:rsidRPr="00F37082" w:rsidRDefault="00DB1A65" w:rsidP="0093727C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教學流程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BD052" w14:textId="77777777" w:rsidR="003B7182" w:rsidRPr="00F37082" w:rsidRDefault="00DB1A65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教學物資</w:t>
            </w:r>
          </w:p>
        </w:tc>
      </w:tr>
      <w:tr w:rsidR="003B7182" w:rsidRPr="00F37082" w14:paraId="025BEE78" w14:textId="77777777" w:rsidTr="00F37082">
        <w:trPr>
          <w:trHeight w:val="245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D6F6" w14:textId="77777777" w:rsidR="003B7182" w:rsidRPr="00F37082" w:rsidRDefault="00DB1A65" w:rsidP="00B52074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引入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14:paraId="64D67B6C" w14:textId="274EC8E3" w:rsidR="006D0B32" w:rsidRPr="00F37082" w:rsidRDefault="008410F3" w:rsidP="00613D2E">
            <w:pPr>
              <w:pStyle w:val="ListParagraph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</w:t>
            </w:r>
            <w:r w:rsidR="00DB1A65" w:rsidRPr="00F37082">
              <w:rPr>
                <w:rFonts w:ascii="DFKai-SB" w:eastAsia="DFKai-SB" w:hAnsi="DFKai-SB" w:hint="eastAsia"/>
                <w:sz w:val="28"/>
              </w:rPr>
              <w:t>師通過</w:t>
            </w:r>
            <w:r w:rsidR="00522982">
              <w:rPr>
                <w:rFonts w:ascii="DFKai-SB" w:eastAsia="DFKai-SB" w:hAnsi="DFKai-SB"/>
                <w:sz w:val="28"/>
              </w:rPr>
              <w:t>「</w:t>
            </w:r>
            <w:r w:rsidR="00DB1A65" w:rsidRPr="00F37082">
              <w:rPr>
                <w:rFonts w:ascii="DFKai-SB" w:eastAsia="DFKai-SB" w:hAnsi="DFKai-SB" w:hint="eastAsia"/>
                <w:b/>
                <w:bCs/>
                <w:sz w:val="28"/>
              </w:rPr>
              <w:t>例子：手機銷售</w:t>
            </w:r>
            <w:r w:rsidR="00522982">
              <w:rPr>
                <w:rFonts w:ascii="DFKai-SB" w:eastAsia="DFKai-SB" w:hAnsi="DFKai-SB"/>
                <w:sz w:val="28"/>
              </w:rPr>
              <w:t>」</w:t>
            </w:r>
            <w:r w:rsidR="000E0705" w:rsidRPr="00F37082">
              <w:rPr>
                <w:rFonts w:ascii="DFKai-SB" w:eastAsia="DFKai-SB" w:hAnsi="DFKai-SB" w:hint="eastAsia"/>
                <w:sz w:val="28"/>
              </w:rPr>
              <w:t>投影片</w:t>
            </w:r>
            <w:r w:rsidR="00DB1A65" w:rsidRPr="00F37082">
              <w:rPr>
                <w:rFonts w:ascii="DFKai-SB" w:eastAsia="DFKai-SB" w:hAnsi="DFKai-SB" w:hint="eastAsia"/>
                <w:sz w:val="28"/>
              </w:rPr>
              <w:t>，讓學生</w:t>
            </w:r>
            <w:r w:rsidR="00915192" w:rsidRPr="00F37082">
              <w:rPr>
                <w:rFonts w:ascii="DFKai-SB" w:eastAsia="DFKai-SB" w:hAnsi="DFKai-SB" w:hint="eastAsia"/>
                <w:sz w:val="28"/>
              </w:rPr>
              <w:t>感受到在某些生活情景下，我們需要快速地對手上的資訊作出分析和判斷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1349D932" w14:textId="77777777" w:rsidR="006236AA" w:rsidRPr="00F37082" w:rsidRDefault="00DB1A65" w:rsidP="00613D2E">
            <w:pPr>
              <w:spacing w:line="400" w:lineRule="exact"/>
              <w:ind w:leftChars="200" w:left="48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/>
                <w:sz w:val="28"/>
              </w:rPr>
              <w:t>(</w:t>
            </w:r>
            <w:r w:rsidR="008410F3" w:rsidRPr="00F37082">
              <w:rPr>
                <w:rFonts w:ascii="DFKai-SB" w:eastAsia="DFKai-SB" w:hAnsi="DFKai-SB" w:hint="eastAsia"/>
                <w:sz w:val="28"/>
              </w:rPr>
              <w:t>教</w:t>
            </w:r>
            <w:r w:rsidRPr="00F37082">
              <w:rPr>
                <w:rFonts w:ascii="DFKai-SB" w:eastAsia="DFKai-SB" w:hAnsi="DFKai-SB" w:hint="eastAsia"/>
                <w:sz w:val="28"/>
              </w:rPr>
              <w:t>師可以再補充一些日常生活事例，例如超市購物、平分款項等，說明估算的</w:t>
            </w:r>
            <w:r w:rsidR="000E0705" w:rsidRPr="00F37082">
              <w:rPr>
                <w:rFonts w:ascii="DFKai-SB" w:eastAsia="DFKai-SB" w:hAnsi="DFKai-SB" w:hint="eastAsia"/>
                <w:sz w:val="28"/>
              </w:rPr>
              <w:t>用</w:t>
            </w:r>
            <w:r w:rsidRPr="00F37082">
              <w:rPr>
                <w:rFonts w:ascii="DFKai-SB" w:eastAsia="DFKai-SB" w:hAnsi="DFKai-SB" w:hint="eastAsia"/>
                <w:sz w:val="28"/>
              </w:rPr>
              <w:t>處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  <w:r w:rsidRPr="00F37082">
              <w:rPr>
                <w:rFonts w:ascii="DFKai-SB" w:eastAsia="DFKai-SB" w:hAnsi="DFKai-SB"/>
                <w:sz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096A" w14:textId="77777777" w:rsidR="00FB3041" w:rsidRPr="00F37082" w:rsidRDefault="00DB1A65" w:rsidP="000E0705">
            <w:pPr>
              <w:spacing w:line="400" w:lineRule="exact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簡報</w:t>
            </w:r>
            <w:r w:rsidR="003B098A" w:rsidRPr="00F37082">
              <w:rPr>
                <w:rFonts w:eastAsia="DFKai-SB" w:hint="eastAsia"/>
                <w:sz w:val="28"/>
              </w:rPr>
              <w:t>《估計計算結果》</w:t>
            </w:r>
          </w:p>
        </w:tc>
      </w:tr>
      <w:tr w:rsidR="003B7182" w:rsidRPr="00F37082" w14:paraId="6D87F8A0" w14:textId="77777777" w:rsidTr="00F37082">
        <w:trPr>
          <w:trHeight w:val="140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2599" w14:textId="77777777" w:rsidR="00BA2AF1" w:rsidRPr="00F37082" w:rsidRDefault="00DB1A65" w:rsidP="00746B9D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活動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14:paraId="4E27144F" w14:textId="46CC9168" w:rsidR="004268AD" w:rsidRPr="00F37082" w:rsidRDefault="00DB1A65" w:rsidP="004268AD">
            <w:pPr>
              <w:pStyle w:val="ListParagraph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通過</w:t>
            </w:r>
            <w:r w:rsidR="00522982">
              <w:rPr>
                <w:rFonts w:ascii="DFKai-SB" w:eastAsia="DFKai-SB" w:hAnsi="DFKai-SB"/>
                <w:sz w:val="28"/>
              </w:rPr>
              <w:t>「</w:t>
            </w:r>
            <w:r w:rsidRPr="00F37082">
              <w:rPr>
                <w:rFonts w:ascii="DFKai-SB" w:eastAsia="DFKai-SB" w:hAnsi="DFKai-SB" w:hint="eastAsia"/>
                <w:b/>
                <w:bCs/>
                <w:sz w:val="28"/>
              </w:rPr>
              <w:t>估算是一種快捷的方法</w:t>
            </w:r>
            <w:r w:rsidR="00522982">
              <w:rPr>
                <w:rFonts w:ascii="DFKai-SB" w:eastAsia="DFKai-SB" w:hAnsi="DFKai-SB"/>
                <w:sz w:val="28"/>
              </w:rPr>
              <w:t>」</w:t>
            </w:r>
            <w:r w:rsidR="000E0705" w:rsidRPr="00F37082">
              <w:rPr>
                <w:rFonts w:ascii="DFKai-SB" w:eastAsia="DFKai-SB" w:hAnsi="DFKai-SB" w:hint="eastAsia"/>
                <w:sz w:val="28"/>
              </w:rPr>
              <w:t>投影片</w:t>
            </w:r>
            <w:r w:rsidRPr="00F37082">
              <w:rPr>
                <w:rFonts w:ascii="DFKai-SB" w:eastAsia="DFKai-SB" w:hAnsi="DFKai-SB" w:hint="eastAsia"/>
                <w:sz w:val="28"/>
              </w:rPr>
              <w:t>，讓學生明白估算的便捷性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4C42EE3E" w14:textId="77777777" w:rsidR="004268AD" w:rsidRPr="00F37082" w:rsidRDefault="004268AD" w:rsidP="00810905">
            <w:pPr>
              <w:spacing w:line="400" w:lineRule="exact"/>
              <w:jc w:val="both"/>
              <w:rPr>
                <w:rFonts w:ascii="DFKai-SB" w:eastAsia="DFKai-SB" w:hAnsi="DFKai-SB"/>
                <w:sz w:val="28"/>
              </w:rPr>
            </w:pPr>
          </w:p>
          <w:p w14:paraId="3EBAAEAB" w14:textId="7747EC55" w:rsidR="004268AD" w:rsidRPr="00F37082" w:rsidRDefault="00DB1A65" w:rsidP="006D0B32">
            <w:pPr>
              <w:pStyle w:val="ListParagraph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通過</w:t>
            </w:r>
            <w:r w:rsidR="00522982">
              <w:rPr>
                <w:rFonts w:ascii="DFKai-SB" w:eastAsia="DFKai-SB" w:hAnsi="DFKai-SB"/>
                <w:sz w:val="28"/>
              </w:rPr>
              <w:t>「</w:t>
            </w:r>
            <w:r w:rsidR="00FF1B2B" w:rsidRPr="00F37082">
              <w:rPr>
                <w:rFonts w:ascii="DFKai-SB" w:eastAsia="DFKai-SB" w:hAnsi="DFKai-SB" w:hint="eastAsia"/>
                <w:b/>
                <w:bCs/>
                <w:sz w:val="28"/>
              </w:rPr>
              <w:t>甚麼</w:t>
            </w:r>
            <w:r w:rsidRPr="00F37082">
              <w:rPr>
                <w:rFonts w:ascii="DFKai-SB" w:eastAsia="DFKai-SB" w:hAnsi="DFKai-SB" w:hint="eastAsia"/>
                <w:b/>
                <w:bCs/>
                <w:sz w:val="28"/>
              </w:rPr>
              <w:t>情況適合運用估算</w:t>
            </w:r>
            <w:r w:rsidR="00764161" w:rsidRPr="00F37082">
              <w:rPr>
                <w:rFonts w:ascii="DFKai-SB" w:eastAsia="DFKai-SB" w:hAnsi="DFKai-SB"/>
                <w:b/>
                <w:bCs/>
                <w:sz w:val="28"/>
              </w:rPr>
              <w:t>？</w:t>
            </w:r>
            <w:r w:rsidR="00522982">
              <w:rPr>
                <w:rFonts w:ascii="DFKai-SB" w:eastAsia="DFKai-SB" w:hAnsi="DFKai-SB"/>
                <w:sz w:val="28"/>
              </w:rPr>
              <w:t>」</w:t>
            </w:r>
            <w:r w:rsidR="000E0705" w:rsidRPr="00F37082">
              <w:rPr>
                <w:rFonts w:ascii="DFKai-SB" w:eastAsia="DFKai-SB" w:hAnsi="DFKai-SB" w:hint="eastAsia"/>
                <w:sz w:val="28"/>
              </w:rPr>
              <w:t>投影片</w:t>
            </w:r>
            <w:r w:rsidR="00915192" w:rsidRPr="00F37082">
              <w:rPr>
                <w:rFonts w:ascii="DFKai-SB" w:eastAsia="DFKai-SB" w:hAnsi="DFKai-SB" w:hint="eastAsia"/>
                <w:sz w:val="28"/>
              </w:rPr>
              <w:t>，讓學生明白當我們只需要知道大約的</w:t>
            </w:r>
            <w:r w:rsidRPr="00F37082">
              <w:rPr>
                <w:rFonts w:ascii="DFKai-SB" w:eastAsia="DFKai-SB" w:hAnsi="DFKai-SB" w:hint="eastAsia"/>
                <w:sz w:val="28"/>
              </w:rPr>
              <w:t>數值</w:t>
            </w:r>
            <w:r w:rsidRPr="00F37082">
              <w:rPr>
                <w:rFonts w:ascii="DFKai-SB" w:eastAsia="DFKai-SB" w:hAnsi="DFKai-SB"/>
                <w:sz w:val="28"/>
              </w:rPr>
              <w:t>(</w:t>
            </w:r>
            <w:r w:rsidR="00915192" w:rsidRPr="00F37082">
              <w:rPr>
                <w:rFonts w:ascii="DFKai-SB" w:eastAsia="DFKai-SB" w:hAnsi="DFKai-SB" w:hint="eastAsia"/>
                <w:sz w:val="28"/>
              </w:rPr>
              <w:t>而不是真</w:t>
            </w:r>
            <w:r w:rsidRPr="00F37082">
              <w:rPr>
                <w:rFonts w:ascii="DFKai-SB" w:eastAsia="DFKai-SB" w:hAnsi="DFKai-SB" w:hint="eastAsia"/>
                <w:sz w:val="28"/>
              </w:rPr>
              <w:t>確值</w:t>
            </w:r>
            <w:r w:rsidRPr="00F37082">
              <w:rPr>
                <w:rFonts w:ascii="DFKai-SB" w:eastAsia="DFKai-SB" w:hAnsi="DFKai-SB"/>
                <w:sz w:val="28"/>
              </w:rPr>
              <w:t>)</w:t>
            </w:r>
            <w:r w:rsidR="00915192" w:rsidRPr="00F37082">
              <w:rPr>
                <w:rFonts w:ascii="DFKai-SB" w:eastAsia="DFKai-SB" w:hAnsi="DFKai-SB" w:hint="eastAsia"/>
                <w:sz w:val="28"/>
              </w:rPr>
              <w:t>去幫助我們作出判斷或決定的時候，就可以運用估算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1ACBB06A" w14:textId="77777777" w:rsidR="00810905" w:rsidRPr="00F37082" w:rsidRDefault="00810905" w:rsidP="00810905">
            <w:pPr>
              <w:pStyle w:val="ListParagraph"/>
              <w:spacing w:line="400" w:lineRule="exact"/>
              <w:ind w:leftChars="0" w:left="360"/>
              <w:jc w:val="both"/>
              <w:rPr>
                <w:rFonts w:ascii="DFKai-SB" w:eastAsia="DFKai-SB" w:hAnsi="DFKai-SB"/>
                <w:sz w:val="28"/>
              </w:rPr>
            </w:pPr>
          </w:p>
          <w:p w14:paraId="133B8144" w14:textId="1654D89C" w:rsidR="000B27C8" w:rsidRPr="00F37082" w:rsidRDefault="00DB1A65" w:rsidP="000B27C8">
            <w:pPr>
              <w:pStyle w:val="ListParagraph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通過</w:t>
            </w:r>
            <w:r w:rsidR="00522982">
              <w:rPr>
                <w:rFonts w:ascii="DFKai-SB" w:eastAsia="DFKai-SB" w:hAnsi="DFKai-SB"/>
                <w:sz w:val="28"/>
              </w:rPr>
              <w:t>「</w:t>
            </w:r>
            <w:r w:rsidR="001015C7" w:rsidRPr="00F37082">
              <w:rPr>
                <w:rFonts w:ascii="DFKai-SB" w:eastAsia="DFKai-SB" w:hAnsi="DFKai-SB" w:hint="eastAsia"/>
                <w:b/>
                <w:sz w:val="28"/>
              </w:rPr>
              <w:t>進行</w:t>
            </w:r>
            <w:r w:rsidRPr="00F37082">
              <w:rPr>
                <w:rFonts w:ascii="DFKai-SB" w:eastAsia="DFKai-SB" w:hAnsi="DFKai-SB" w:hint="eastAsia"/>
                <w:b/>
                <w:bCs/>
                <w:sz w:val="28"/>
              </w:rPr>
              <w:t>估算</w:t>
            </w:r>
            <w:r w:rsidR="001015C7" w:rsidRPr="00F37082">
              <w:rPr>
                <w:rFonts w:ascii="DFKai-SB" w:eastAsia="DFKai-SB" w:hAnsi="DFKai-SB" w:hint="eastAsia"/>
                <w:b/>
                <w:sz w:val="28"/>
              </w:rPr>
              <w:t>時</w:t>
            </w:r>
            <w:r w:rsidR="001015C7" w:rsidRPr="00F37082">
              <w:rPr>
                <w:rFonts w:ascii="DFKai-SB" w:eastAsia="DFKai-SB" w:hAnsi="DFKai-SB" w:hint="eastAsia"/>
                <w:b/>
                <w:bCs/>
                <w:sz w:val="28"/>
              </w:rPr>
              <w:t>最常用</w:t>
            </w:r>
            <w:r w:rsidRPr="00F37082">
              <w:rPr>
                <w:rFonts w:ascii="DFKai-SB" w:eastAsia="DFKai-SB" w:hAnsi="DFKai-SB" w:hint="eastAsia"/>
                <w:b/>
                <w:bCs/>
                <w:sz w:val="28"/>
              </w:rPr>
              <w:t>哪些技巧</w:t>
            </w:r>
            <w:r w:rsidR="00764161" w:rsidRPr="00F37082">
              <w:rPr>
                <w:rFonts w:ascii="DFKai-SB" w:eastAsia="DFKai-SB" w:hAnsi="DFKai-SB"/>
                <w:b/>
                <w:bCs/>
                <w:sz w:val="28"/>
              </w:rPr>
              <w:t>？</w:t>
            </w:r>
            <w:r w:rsidR="00522982">
              <w:rPr>
                <w:rFonts w:ascii="DFKai-SB" w:eastAsia="DFKai-SB" w:hAnsi="DFKai-SB"/>
                <w:sz w:val="28"/>
              </w:rPr>
              <w:t>」</w:t>
            </w:r>
            <w:r w:rsidR="000E0705" w:rsidRPr="00F37082">
              <w:rPr>
                <w:rFonts w:ascii="DFKai-SB" w:eastAsia="DFKai-SB" w:hAnsi="DFKai-SB" w:hint="eastAsia"/>
                <w:sz w:val="28"/>
              </w:rPr>
              <w:t>投影片</w:t>
            </w:r>
            <w:r w:rsidRPr="00F37082">
              <w:rPr>
                <w:rFonts w:ascii="DFKai-SB" w:eastAsia="DFKai-SB" w:hAnsi="DFKai-SB" w:hint="eastAsia"/>
                <w:sz w:val="28"/>
              </w:rPr>
              <w:t>，介紹常用的估算技巧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6CDACE5D" w14:textId="77777777" w:rsidR="000B27C8" w:rsidRPr="00F37082" w:rsidRDefault="00DB1A65" w:rsidP="000B27C8">
            <w:pPr>
              <w:pStyle w:val="ListParagraph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b/>
                <w:sz w:val="28"/>
              </w:rPr>
              <w:t>取最接近的整數</w:t>
            </w:r>
            <w:r w:rsidR="00366C51" w:rsidRPr="00F37082">
              <w:rPr>
                <w:rFonts w:ascii="DFKai-SB" w:eastAsia="DFKai-SB" w:hAnsi="DFKai-SB" w:hint="eastAsia"/>
                <w:b/>
                <w:sz w:val="28"/>
                <w:lang w:eastAsia="zh-HK"/>
              </w:rPr>
              <w:t>。</w:t>
            </w:r>
          </w:p>
          <w:p w14:paraId="212BBCA0" w14:textId="77777777" w:rsidR="00810905" w:rsidRPr="00F37082" w:rsidRDefault="00DB1A65" w:rsidP="00810905">
            <w:pPr>
              <w:pStyle w:val="ListParagraph"/>
              <w:numPr>
                <w:ilvl w:val="1"/>
                <w:numId w:val="1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教授時須注意實際的估算技巧</w:t>
            </w:r>
            <w:r w:rsidR="00D57A26" w:rsidRPr="00F37082">
              <w:rPr>
                <w:rFonts w:ascii="DFKai-SB" w:eastAsia="DFKai-SB" w:hAnsi="DFKai-SB" w:hint="eastAsia"/>
                <w:sz w:val="28"/>
              </w:rPr>
              <w:t>具</w:t>
            </w:r>
            <w:r w:rsidRPr="00F37082">
              <w:rPr>
                <w:rFonts w:ascii="DFKai-SB" w:eastAsia="DFKai-SB" w:hAnsi="DFKai-SB" w:hint="eastAsia"/>
                <w:sz w:val="28"/>
              </w:rPr>
              <w:t>多種多樣</w:t>
            </w:r>
            <w:r w:rsidR="00D57A26" w:rsidRPr="00F37082">
              <w:rPr>
                <w:rFonts w:ascii="DFKai-SB" w:eastAsia="DFKai-SB" w:hAnsi="DFKai-SB" w:hint="eastAsia"/>
                <w:sz w:val="28"/>
              </w:rPr>
              <w:t>及</w:t>
            </w:r>
            <w:r w:rsidRPr="00F37082">
              <w:rPr>
                <w:rFonts w:ascii="DFKai-SB" w:eastAsia="DFKai-SB" w:hAnsi="DFKai-SB" w:hint="eastAsia"/>
                <w:sz w:val="28"/>
              </w:rPr>
              <w:t>靈活變化</w:t>
            </w:r>
            <w:r w:rsidR="00D57A26" w:rsidRPr="00F37082">
              <w:rPr>
                <w:rFonts w:ascii="DFKai-SB" w:eastAsia="DFKai-SB" w:hAnsi="DFKai-SB" w:hint="eastAsia"/>
                <w:sz w:val="28"/>
              </w:rPr>
              <w:t>的特性</w:t>
            </w:r>
            <w:r w:rsidRPr="00F37082">
              <w:rPr>
                <w:rFonts w:ascii="DFKai-SB" w:eastAsia="DFKai-SB" w:hAnsi="DFKai-SB" w:hint="eastAsia"/>
                <w:sz w:val="28"/>
              </w:rPr>
              <w:t>，不要讓學生</w:t>
            </w:r>
            <w:r w:rsidR="00667054" w:rsidRPr="00F37082">
              <w:rPr>
                <w:rFonts w:ascii="DFKai-SB" w:eastAsia="DFKai-SB" w:hAnsi="DFKai-SB" w:hint="eastAsia"/>
                <w:sz w:val="28"/>
              </w:rPr>
              <w:t>產生</w:t>
            </w:r>
            <w:r w:rsidRPr="00F37082">
              <w:rPr>
                <w:rFonts w:ascii="DFKai-SB" w:eastAsia="DFKai-SB" w:hAnsi="DFKai-SB" w:hint="eastAsia"/>
                <w:sz w:val="28"/>
              </w:rPr>
              <w:t>估算必須局限於某些方法</w:t>
            </w:r>
            <w:r w:rsidR="00667054" w:rsidRPr="00F37082">
              <w:rPr>
                <w:rFonts w:ascii="DFKai-SB" w:eastAsia="DFKai-SB" w:hAnsi="DFKai-SB" w:hint="eastAsia"/>
                <w:sz w:val="28"/>
              </w:rPr>
              <w:t>的誤解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25EFFCE6" w14:textId="77777777" w:rsidR="00810905" w:rsidRPr="00F37082" w:rsidRDefault="00810905" w:rsidP="00810905">
            <w:pPr>
              <w:pStyle w:val="ListParagraph"/>
              <w:spacing w:line="400" w:lineRule="exact"/>
              <w:ind w:leftChars="0" w:left="960"/>
              <w:jc w:val="both"/>
              <w:rPr>
                <w:rFonts w:ascii="DFKai-SB" w:eastAsia="DFKai-SB" w:hAnsi="DFKai-SB"/>
                <w:sz w:val="28"/>
              </w:rPr>
            </w:pPr>
          </w:p>
          <w:p w14:paraId="02C5D4EE" w14:textId="77777777" w:rsidR="008946A6" w:rsidRPr="00F37082" w:rsidRDefault="008946A6" w:rsidP="00810905">
            <w:pPr>
              <w:pStyle w:val="ListParagraph"/>
              <w:spacing w:line="400" w:lineRule="exact"/>
              <w:ind w:leftChars="0" w:left="960"/>
              <w:jc w:val="both"/>
              <w:rPr>
                <w:rFonts w:ascii="DFKai-SB" w:eastAsia="DFKai-SB" w:hAnsi="DFKai-SB"/>
                <w:sz w:val="28"/>
              </w:rPr>
            </w:pPr>
          </w:p>
          <w:p w14:paraId="7A866BF9" w14:textId="77777777" w:rsidR="00764161" w:rsidRPr="00F37082" w:rsidRDefault="00764161" w:rsidP="00810905">
            <w:pPr>
              <w:pStyle w:val="ListParagraph"/>
              <w:spacing w:line="400" w:lineRule="exact"/>
              <w:ind w:leftChars="0" w:left="960"/>
              <w:jc w:val="both"/>
              <w:rPr>
                <w:rFonts w:ascii="DFKai-SB" w:eastAsia="DFKai-SB" w:hAnsi="DFKai-SB"/>
                <w:sz w:val="28"/>
              </w:rPr>
            </w:pPr>
          </w:p>
          <w:p w14:paraId="11E93489" w14:textId="77777777" w:rsidR="00810905" w:rsidRPr="00F37082" w:rsidRDefault="00810905" w:rsidP="00014C17">
            <w:pPr>
              <w:spacing w:line="400" w:lineRule="exact"/>
              <w:jc w:val="both"/>
              <w:rPr>
                <w:rFonts w:ascii="DFKai-SB" w:eastAsia="DFKai-SB" w:hAnsi="DFKai-SB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26BD" w14:textId="77777777" w:rsidR="003B7182" w:rsidRPr="00F37082" w:rsidRDefault="003B098A" w:rsidP="00746B9D">
            <w:pPr>
              <w:spacing w:line="400" w:lineRule="exact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簡報</w:t>
            </w:r>
            <w:r w:rsidRPr="00F37082">
              <w:rPr>
                <w:rFonts w:eastAsia="DFKai-SB" w:hint="eastAsia"/>
                <w:sz w:val="28"/>
              </w:rPr>
              <w:t>《估計計算結果》</w:t>
            </w:r>
          </w:p>
        </w:tc>
      </w:tr>
    </w:tbl>
    <w:p w14:paraId="1459F568" w14:textId="77777777" w:rsidR="00043171" w:rsidRPr="00F37082" w:rsidRDefault="00043171"/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7258"/>
        <w:gridCol w:w="1985"/>
      </w:tblGrid>
      <w:tr w:rsidR="00014C17" w:rsidRPr="00F37082" w14:paraId="5484A50C" w14:textId="77777777" w:rsidTr="00F37082">
        <w:trPr>
          <w:trHeight w:val="40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8642E" w14:textId="77777777" w:rsidR="00014C17" w:rsidRPr="00F37082" w:rsidRDefault="00014C17" w:rsidP="00014C17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教學環節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85" w:type="dxa"/>
            </w:tcMar>
          </w:tcPr>
          <w:p w14:paraId="5A982AE6" w14:textId="77777777" w:rsidR="00014C17" w:rsidRPr="00F37082" w:rsidRDefault="00014C17" w:rsidP="00014C17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教學流程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2B2DE" w14:textId="77777777" w:rsidR="00014C17" w:rsidRPr="00F37082" w:rsidRDefault="00014C17" w:rsidP="00014C17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教學物資</w:t>
            </w:r>
          </w:p>
        </w:tc>
      </w:tr>
      <w:tr w:rsidR="00014C17" w:rsidRPr="00F37082" w14:paraId="799A8104" w14:textId="77777777" w:rsidTr="00F37082">
        <w:trPr>
          <w:trHeight w:val="11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9240" w14:textId="77777777" w:rsidR="00014C17" w:rsidRPr="00F37082" w:rsidRDefault="00014C17" w:rsidP="00014C17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14:paraId="004399BD" w14:textId="25B4458F" w:rsidR="00014C17" w:rsidRPr="00F37082" w:rsidRDefault="00043171" w:rsidP="00043171">
            <w:pPr>
              <w:spacing w:line="400" w:lineRule="exact"/>
              <w:ind w:left="395" w:hanging="395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eastAsia="DFKai-SB"/>
                <w:sz w:val="28"/>
              </w:rPr>
              <w:t>4.</w:t>
            </w:r>
            <w:r w:rsidRPr="00F37082">
              <w:rPr>
                <w:rFonts w:ascii="DFKai-SB" w:eastAsia="DFKai-SB" w:hAnsi="DFKai-SB"/>
                <w:sz w:val="28"/>
              </w:rPr>
              <w:tab/>
            </w:r>
            <w:r w:rsidR="00014C17" w:rsidRPr="00F37082">
              <w:rPr>
                <w:rFonts w:ascii="DFKai-SB" w:eastAsia="DFKai-SB" w:hAnsi="DFKai-SB" w:hint="eastAsia"/>
                <w:sz w:val="28"/>
              </w:rPr>
              <w:t>通過</w:t>
            </w:r>
            <w:r w:rsidR="00522982">
              <w:rPr>
                <w:rFonts w:ascii="DFKai-SB" w:eastAsia="DFKai-SB" w:hAnsi="DFKai-SB"/>
                <w:sz w:val="28"/>
              </w:rPr>
              <w:t>「</w:t>
            </w:r>
            <w:r w:rsidR="00764161" w:rsidRPr="00F37082">
              <w:rPr>
                <w:rFonts w:ascii="DFKai-SB" w:eastAsia="DFKai-SB" w:hAnsi="DFKai-SB" w:hint="eastAsia"/>
                <w:b/>
                <w:bCs/>
                <w:sz w:val="28"/>
              </w:rPr>
              <w:t>哪道估算算式最合適？</w:t>
            </w:r>
            <w:r w:rsidR="00522982">
              <w:rPr>
                <w:rFonts w:ascii="DFKai-SB" w:eastAsia="DFKai-SB" w:hAnsi="DFKai-SB"/>
                <w:sz w:val="28"/>
              </w:rPr>
              <w:t>」</w:t>
            </w:r>
            <w:r w:rsidR="00014C17" w:rsidRPr="00F37082">
              <w:rPr>
                <w:rFonts w:ascii="DFKai-SB" w:eastAsia="DFKai-SB" w:hAnsi="DFKai-SB" w:hint="eastAsia"/>
                <w:sz w:val="28"/>
              </w:rPr>
              <w:t>投影片，</w:t>
            </w:r>
            <w:r w:rsidR="00764161" w:rsidRPr="00F37082">
              <w:rPr>
                <w:rFonts w:ascii="DFKai-SB" w:eastAsia="DFKai-SB" w:hAnsi="DFKai-SB" w:hint="eastAsia"/>
                <w:sz w:val="28"/>
              </w:rPr>
              <w:t>和學生討論給定的估算算式中哪條算式較為合適，讓他們初步接觸估算在生活中的應用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3C6D9E22" w14:textId="77777777" w:rsidR="000C0611" w:rsidRPr="00F37082" w:rsidRDefault="000C0611" w:rsidP="000C0611">
            <w:pPr>
              <w:pStyle w:val="ListParagraph"/>
              <w:spacing w:line="400" w:lineRule="exact"/>
              <w:ind w:leftChars="0" w:left="360"/>
              <w:jc w:val="both"/>
              <w:rPr>
                <w:rFonts w:ascii="DFKai-SB" w:eastAsia="DFKai-SB" w:hAnsi="DFKai-SB"/>
                <w:sz w:val="28"/>
              </w:rPr>
            </w:pPr>
          </w:p>
          <w:p w14:paraId="54585A37" w14:textId="341AEED0" w:rsidR="006C7E81" w:rsidRPr="00F37082" w:rsidRDefault="00043171" w:rsidP="00043171">
            <w:pPr>
              <w:spacing w:line="400" w:lineRule="exact"/>
              <w:ind w:left="395" w:hanging="395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eastAsia="DFKai-SB"/>
                <w:sz w:val="28"/>
              </w:rPr>
              <w:t>5.</w:t>
            </w:r>
            <w:r w:rsidRPr="00F37082">
              <w:rPr>
                <w:rFonts w:ascii="DFKai-SB" w:eastAsia="DFKai-SB" w:hAnsi="DFKai-SB"/>
                <w:sz w:val="28"/>
              </w:rPr>
              <w:tab/>
            </w:r>
            <w:r w:rsidR="00D24B9C" w:rsidRPr="00F37082">
              <w:rPr>
                <w:rFonts w:ascii="DFKai-SB" w:eastAsia="DFKai-SB" w:hAnsi="DFKai-SB" w:hint="eastAsia"/>
                <w:sz w:val="28"/>
              </w:rPr>
              <w:t>通過</w:t>
            </w:r>
            <w:r w:rsidR="00522982">
              <w:rPr>
                <w:rFonts w:ascii="DFKai-SB" w:eastAsia="DFKai-SB" w:hAnsi="DFKai-SB"/>
                <w:sz w:val="28"/>
              </w:rPr>
              <w:t>「</w:t>
            </w:r>
            <w:r w:rsidR="00D24B9C" w:rsidRPr="00F37082">
              <w:rPr>
                <w:rFonts w:ascii="DFKai-SB" w:eastAsia="DFKai-SB" w:hAnsi="DFKai-SB" w:hint="eastAsia"/>
                <w:b/>
                <w:bCs/>
                <w:sz w:val="28"/>
              </w:rPr>
              <w:t>你們會如何估算呢</w:t>
            </w:r>
            <w:r w:rsidR="00764161" w:rsidRPr="00F37082">
              <w:rPr>
                <w:rFonts w:ascii="DFKai-SB" w:eastAsia="DFKai-SB" w:hAnsi="DFKai-SB"/>
                <w:b/>
                <w:bCs/>
                <w:sz w:val="28"/>
              </w:rPr>
              <w:t>？</w:t>
            </w:r>
            <w:r w:rsidR="00522982">
              <w:rPr>
                <w:rFonts w:ascii="DFKai-SB" w:eastAsia="DFKai-SB" w:hAnsi="DFKai-SB"/>
                <w:sz w:val="28"/>
              </w:rPr>
              <w:t>」</w:t>
            </w:r>
            <w:r w:rsidR="00D24B9C" w:rsidRPr="00F37082">
              <w:rPr>
                <w:rFonts w:ascii="DFKai-SB" w:eastAsia="DFKai-SB" w:hAnsi="DFKai-SB" w:hint="eastAsia"/>
                <w:sz w:val="28"/>
              </w:rPr>
              <w:t>投影片，和學生</w:t>
            </w:r>
            <w:r w:rsidR="00764161" w:rsidRPr="00F37082">
              <w:rPr>
                <w:rFonts w:ascii="DFKai-SB" w:eastAsia="DFKai-SB" w:hAnsi="DFKai-SB" w:hint="eastAsia"/>
                <w:sz w:val="28"/>
              </w:rPr>
              <w:t>探討</w:t>
            </w:r>
            <w:r w:rsidR="006C7E81" w:rsidRPr="00F37082">
              <w:rPr>
                <w:rFonts w:ascii="DFKai-SB" w:eastAsia="DFKai-SB" w:hAnsi="DFKai-SB" w:hint="eastAsia"/>
                <w:sz w:val="28"/>
              </w:rPr>
              <w:t>估算算式的構建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。答案可以是多種多樣的，</w:t>
            </w:r>
            <w:r w:rsidR="006C7E81" w:rsidRPr="00F37082">
              <w:rPr>
                <w:rFonts w:ascii="DFKai-SB" w:eastAsia="DFKai-SB" w:hAnsi="DFKai-SB" w:hint="eastAsia"/>
                <w:sz w:val="28"/>
              </w:rPr>
              <w:t>教師可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引導</w:t>
            </w:r>
            <w:r w:rsidR="006C7E81" w:rsidRPr="00F37082">
              <w:rPr>
                <w:rFonts w:ascii="DFKai-SB" w:eastAsia="DFKai-SB" w:hAnsi="DFKai-SB" w:hint="eastAsia"/>
                <w:sz w:val="28"/>
              </w:rPr>
              <w:t>學生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因應</w:t>
            </w:r>
            <w:r w:rsidR="006C7E81" w:rsidRPr="00F37082">
              <w:rPr>
                <w:rFonts w:ascii="DFKai-SB" w:eastAsia="DFKai-SB" w:hAnsi="DFKai-SB" w:hint="eastAsia"/>
                <w:sz w:val="28"/>
              </w:rPr>
              <w:t>問題的特點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來選取合適</w:t>
            </w:r>
            <w:r w:rsidR="006C7E81" w:rsidRPr="00F37082">
              <w:rPr>
                <w:rFonts w:ascii="DFKai-SB" w:eastAsia="DFKai-SB" w:hAnsi="DFKai-SB" w:hint="eastAsia"/>
                <w:sz w:val="28"/>
              </w:rPr>
              <w:t>估算技巧：</w:t>
            </w:r>
          </w:p>
          <w:p w14:paraId="5C89CC5E" w14:textId="77777777" w:rsidR="00043171" w:rsidRPr="00F37082" w:rsidRDefault="0060574A" w:rsidP="00043171">
            <w:pPr>
              <w:pStyle w:val="ListParagraph"/>
              <w:numPr>
                <w:ilvl w:val="1"/>
                <w:numId w:val="2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【</w:t>
            </w:r>
            <w:r w:rsidR="006C7E81" w:rsidRPr="00F37082">
              <w:rPr>
                <w:rFonts w:ascii="DFKai-SB" w:eastAsia="DFKai-SB" w:hAnsi="DFKai-SB" w:hint="eastAsia"/>
                <w:sz w:val="28"/>
              </w:rPr>
              <w:t>題目一</w:t>
            </w:r>
            <w:r w:rsidRPr="00F37082">
              <w:rPr>
                <w:rFonts w:ascii="DFKai-SB" w:eastAsia="DFKai-SB" w:hAnsi="DFKai-SB" w:hint="eastAsia"/>
                <w:sz w:val="28"/>
              </w:rPr>
              <w:t>】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涉及的算式為</w:t>
            </w:r>
            <w:r w:rsidR="00DA1572" w:rsidRPr="00F37082">
              <w:rPr>
                <w:rFonts w:eastAsia="DFKai-SB"/>
                <w:sz w:val="28"/>
              </w:rPr>
              <w:t>202</w:t>
            </w:r>
            <w:r w:rsidR="00747131" w:rsidRPr="00F37082">
              <w:rPr>
                <w:rFonts w:eastAsia="DFKai-SB" w:hint="eastAsia"/>
                <w:sz w:val="28"/>
              </w:rPr>
              <w:t>.4</w:t>
            </w:r>
            <w:r w:rsidR="00747131" w:rsidRPr="00F37082">
              <w:rPr>
                <w:rFonts w:eastAsia="DFKai-SB"/>
                <w:sz w:val="28"/>
              </w:rPr>
              <w:t>–</w:t>
            </w:r>
            <w:r w:rsidR="00DA1572" w:rsidRPr="00F37082">
              <w:rPr>
                <w:rFonts w:eastAsia="DFKai-SB"/>
                <w:sz w:val="28"/>
              </w:rPr>
              <w:t>149</w:t>
            </w:r>
            <w:r w:rsidR="00747131" w:rsidRPr="00F37082">
              <w:rPr>
                <w:rFonts w:eastAsia="DFKai-SB" w:hint="eastAsia"/>
                <w:sz w:val="28"/>
              </w:rPr>
              <w:t>.5+</w:t>
            </w:r>
            <w:r w:rsidR="00DA1572" w:rsidRPr="00F37082">
              <w:rPr>
                <w:rFonts w:eastAsia="DFKai-SB"/>
                <w:sz w:val="28"/>
              </w:rPr>
              <w:t>83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。</w:t>
            </w:r>
            <w:r w:rsidR="00010593" w:rsidRPr="00F37082">
              <w:rPr>
                <w:rFonts w:ascii="DFKai-SB" w:eastAsia="DFKai-SB" w:hAnsi="DFKai-SB" w:hint="eastAsia"/>
                <w:sz w:val="28"/>
              </w:rPr>
              <w:t>先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把各數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四捨五入至最接近的十位</w:t>
            </w:r>
            <w:r w:rsidR="00010593" w:rsidRPr="00F37082">
              <w:rPr>
                <w:rFonts w:ascii="DFKai-SB" w:eastAsia="DFKai-SB" w:hAnsi="DFKai-SB" w:hint="eastAsia"/>
                <w:sz w:val="28"/>
              </w:rPr>
              <w:t>然後再進行計算，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是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其中一種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合適的方法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2D720A91" w14:textId="77777777" w:rsidR="00D24B9C" w:rsidRPr="00F37082" w:rsidRDefault="00010593" w:rsidP="00043171">
            <w:pPr>
              <w:pStyle w:val="ListParagraph"/>
              <w:spacing w:line="400" w:lineRule="exact"/>
              <w:ind w:leftChars="0" w:left="96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（</w:t>
            </w:r>
            <w:r w:rsidR="008946A6" w:rsidRPr="00F37082">
              <w:rPr>
                <w:rFonts w:ascii="DFKai-SB" w:eastAsia="DFKai-SB" w:hAnsi="DFKai-SB" w:hint="eastAsia"/>
                <w:sz w:val="28"/>
              </w:rPr>
              <w:t>教師應持開放態度帶領學生討論，無論把各數整合至十位或百位作估算，只要言之成理就可接納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  <w:r w:rsidR="001C17A9" w:rsidRPr="00F37082">
              <w:rPr>
                <w:rFonts w:ascii="DFKai-SB" w:eastAsia="DFKai-SB" w:hAnsi="DFKai-SB" w:hint="eastAsia"/>
                <w:sz w:val="28"/>
              </w:rPr>
              <w:t>）</w:t>
            </w:r>
          </w:p>
          <w:p w14:paraId="0B0C1D0B" w14:textId="77777777" w:rsidR="00043171" w:rsidRPr="00F37082" w:rsidRDefault="00447358" w:rsidP="00043171">
            <w:pPr>
              <w:pStyle w:val="ListParagraph"/>
              <w:numPr>
                <w:ilvl w:val="1"/>
                <w:numId w:val="2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【</w:t>
            </w:r>
            <w:r w:rsidR="000C0611" w:rsidRPr="00F37082">
              <w:rPr>
                <w:rFonts w:ascii="DFKai-SB" w:eastAsia="DFKai-SB" w:hAnsi="DFKai-SB" w:hint="eastAsia"/>
                <w:sz w:val="28"/>
              </w:rPr>
              <w:t>題目二</w:t>
            </w:r>
            <w:r w:rsidRPr="00F37082">
              <w:rPr>
                <w:rFonts w:ascii="DFKai-SB" w:eastAsia="DFKai-SB" w:hAnsi="DFKai-SB" w:hint="eastAsia"/>
                <w:sz w:val="28"/>
              </w:rPr>
              <w:t>】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需要同學判斷</w:t>
            </w:r>
            <w:r w:rsidR="00DA1572" w:rsidRPr="00F37082">
              <w:rPr>
                <w:rFonts w:eastAsia="DFKai-SB"/>
                <w:sz w:val="28"/>
              </w:rPr>
              <w:t>20000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是否大於</w:t>
            </w:r>
            <w:r w:rsidR="00DA1572" w:rsidRPr="00F37082">
              <w:rPr>
                <w:rFonts w:eastAsia="DFKai-SB" w:hint="eastAsia"/>
                <w:sz w:val="28"/>
              </w:rPr>
              <w:t>59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×</w:t>
            </w:r>
            <w:r w:rsidR="00DA1572" w:rsidRPr="00F37082">
              <w:rPr>
                <w:rFonts w:eastAsia="DFKai-SB" w:hint="eastAsia"/>
                <w:sz w:val="28"/>
              </w:rPr>
              <w:t>294</w:t>
            </w:r>
            <w:r w:rsidR="00DA1572" w:rsidRPr="00F37082">
              <w:rPr>
                <w:rFonts w:eastAsia="DFKai-SB" w:hint="eastAsia"/>
                <w:sz w:val="28"/>
              </w:rPr>
              <w:t>。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把乘式</w:t>
            </w:r>
            <w:r w:rsidR="00F81CEF" w:rsidRPr="00F37082">
              <w:rPr>
                <w:rFonts w:ascii="DFKai-SB" w:eastAsia="DFKai-SB" w:hAnsi="DFKai-SB" w:hint="eastAsia"/>
                <w:sz w:val="28"/>
              </w:rPr>
              <w:t>中的數值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捨入</w:t>
            </w:r>
            <w:r w:rsidR="00F81CEF" w:rsidRPr="00F37082">
              <w:rPr>
                <w:rFonts w:ascii="DFKai-SB" w:eastAsia="DFKai-SB" w:hAnsi="DFKai-SB" w:hint="eastAsia"/>
                <w:sz w:val="28"/>
              </w:rPr>
              <w:t>為</w:t>
            </w:r>
            <w:r w:rsidR="00DA1572" w:rsidRPr="00F37082">
              <w:rPr>
                <w:rFonts w:eastAsia="DFKai-SB" w:hint="eastAsia"/>
                <w:sz w:val="28"/>
              </w:rPr>
              <w:t>60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×</w:t>
            </w:r>
            <w:r w:rsidR="00DA1572" w:rsidRPr="00F37082">
              <w:rPr>
                <w:rFonts w:eastAsia="DFKai-SB" w:hint="eastAsia"/>
                <w:sz w:val="28"/>
              </w:rPr>
              <w:t>300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然後再進行計算</w:t>
            </w:r>
            <w:r w:rsidR="00010593" w:rsidRPr="00F37082">
              <w:rPr>
                <w:rFonts w:ascii="DFKai-SB" w:eastAsia="DFKai-SB" w:hAnsi="DFKai-SB" w:hint="eastAsia"/>
                <w:sz w:val="28"/>
              </w:rPr>
              <w:t>，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可以得到正確的結論，</w:t>
            </w:r>
            <w:r w:rsidR="00010593" w:rsidRPr="00F37082">
              <w:rPr>
                <w:rFonts w:ascii="DFKai-SB" w:eastAsia="DFKai-SB" w:hAnsi="DFKai-SB" w:hint="eastAsia"/>
                <w:sz w:val="28"/>
              </w:rPr>
              <w:t>是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其中一種</w:t>
            </w:r>
            <w:r w:rsidR="00C84FC0" w:rsidRPr="00F37082">
              <w:rPr>
                <w:rFonts w:ascii="DFKai-SB" w:eastAsia="DFKai-SB" w:hAnsi="DFKai-SB" w:hint="eastAsia"/>
                <w:sz w:val="28"/>
              </w:rPr>
              <w:t>合適的方法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6AC2E398" w14:textId="77777777" w:rsidR="000C0611" w:rsidRPr="00F37082" w:rsidRDefault="001C17A9" w:rsidP="00043171">
            <w:pPr>
              <w:pStyle w:val="ListParagraph"/>
              <w:spacing w:line="400" w:lineRule="exact"/>
              <w:ind w:leftChars="0" w:left="96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（</w:t>
            </w:r>
            <w:r w:rsidR="00010593" w:rsidRPr="00F37082">
              <w:rPr>
                <w:rFonts w:ascii="DFKai-SB" w:eastAsia="DFKai-SB" w:hAnsi="DFKai-SB" w:hint="eastAsia"/>
                <w:sz w:val="28"/>
              </w:rPr>
              <w:t>若</w:t>
            </w:r>
            <w:r w:rsidR="00F81CEF" w:rsidRPr="00F37082">
              <w:rPr>
                <w:rFonts w:ascii="DFKai-SB" w:eastAsia="DFKai-SB" w:hAnsi="DFKai-SB" w:hint="eastAsia"/>
                <w:sz w:val="28"/>
              </w:rPr>
              <w:t>把乘式中的數值捨入為</w:t>
            </w:r>
            <w:r w:rsidR="00DA1572" w:rsidRPr="00F37082">
              <w:rPr>
                <w:rFonts w:eastAsia="DFKai-SB" w:hint="eastAsia"/>
                <w:sz w:val="28"/>
              </w:rPr>
              <w:t>60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×</w:t>
            </w:r>
            <w:r w:rsidR="00DA1572" w:rsidRPr="00F37082">
              <w:rPr>
                <w:rFonts w:eastAsia="DFKai-SB" w:hint="eastAsia"/>
                <w:sz w:val="28"/>
              </w:rPr>
              <w:t>290</w:t>
            </w:r>
            <w:r w:rsidR="00DA1572" w:rsidRPr="00F37082">
              <w:rPr>
                <w:rFonts w:ascii="DFKai-SB" w:eastAsia="DFKai-SB" w:hAnsi="DFKai-SB" w:hint="eastAsia"/>
                <w:sz w:val="28"/>
              </w:rPr>
              <w:t>然後再進行計算</w:t>
            </w:r>
            <w:r w:rsidR="00010593" w:rsidRPr="00F37082">
              <w:rPr>
                <w:rFonts w:ascii="DFKai-SB" w:eastAsia="DFKai-SB" w:hAnsi="DFKai-SB" w:hint="eastAsia"/>
                <w:sz w:val="28"/>
              </w:rPr>
              <w:t>，</w:t>
            </w:r>
            <w:r w:rsidR="00747131" w:rsidRPr="00F37082">
              <w:rPr>
                <w:rFonts w:ascii="DFKai-SB" w:eastAsia="DFKai-SB" w:hAnsi="DFKai-SB" w:hint="eastAsia"/>
                <w:sz w:val="28"/>
              </w:rPr>
              <w:t>也會得到相同的結論，但</w:t>
            </w:r>
            <w:r w:rsidR="00447358" w:rsidRPr="00F37082">
              <w:rPr>
                <w:rFonts w:ascii="DFKai-SB" w:eastAsia="DFKai-SB" w:hAnsi="DFKai-SB" w:hint="eastAsia"/>
                <w:sz w:val="28"/>
              </w:rPr>
              <w:t>計</w:t>
            </w:r>
            <w:r w:rsidR="00010593" w:rsidRPr="00F37082">
              <w:rPr>
                <w:rFonts w:ascii="DFKai-SB" w:eastAsia="DFKai-SB" w:hAnsi="DFKai-SB" w:hint="eastAsia"/>
                <w:sz w:val="28"/>
              </w:rPr>
              <w:t>算</w:t>
            </w:r>
            <w:r w:rsidR="00447358" w:rsidRPr="00F37082">
              <w:rPr>
                <w:rFonts w:ascii="DFKai-SB" w:eastAsia="DFKai-SB" w:hAnsi="DFKai-SB" w:hint="eastAsia"/>
                <w:sz w:val="28"/>
              </w:rPr>
              <w:t>會較為繁複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  <w:r w:rsidRPr="00F37082">
              <w:rPr>
                <w:rFonts w:ascii="DFKai-SB" w:eastAsia="DFKai-SB" w:hAnsi="DFKai-SB" w:hint="eastAsia"/>
                <w:sz w:val="28"/>
              </w:rPr>
              <w:t>）</w:t>
            </w:r>
          </w:p>
          <w:p w14:paraId="51A22BB0" w14:textId="77777777" w:rsidR="001C17A9" w:rsidRPr="00F37082" w:rsidRDefault="001C17A9" w:rsidP="00043171">
            <w:pPr>
              <w:pStyle w:val="ListParagraph"/>
              <w:numPr>
                <w:ilvl w:val="1"/>
                <w:numId w:val="26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教師可引導學生</w:t>
            </w:r>
            <w:r w:rsidR="00977FD1" w:rsidRPr="00F37082">
              <w:rPr>
                <w:rFonts w:ascii="DFKai-SB" w:eastAsia="DFKai-SB" w:hAnsi="DFKai-SB" w:hint="eastAsia"/>
                <w:sz w:val="28"/>
              </w:rPr>
              <w:t>講述他們</w:t>
            </w:r>
            <w:r w:rsidR="00747131" w:rsidRPr="00F37082">
              <w:rPr>
                <w:rFonts w:ascii="DFKai-SB" w:eastAsia="DFKai-SB" w:hAnsi="DFKai-SB" w:hint="eastAsia"/>
                <w:sz w:val="28"/>
              </w:rPr>
              <w:t>在選取</w:t>
            </w:r>
            <w:r w:rsidRPr="00F37082">
              <w:rPr>
                <w:rFonts w:ascii="DFKai-SB" w:eastAsia="DFKai-SB" w:hAnsi="DFKai-SB" w:hint="eastAsia"/>
                <w:sz w:val="28"/>
              </w:rPr>
              <w:t>估算策略時</w:t>
            </w:r>
            <w:r w:rsidR="00977FD1" w:rsidRPr="00F37082">
              <w:rPr>
                <w:rFonts w:ascii="DFKai-SB" w:eastAsia="DFKai-SB" w:hAnsi="DFKai-SB" w:hint="eastAsia"/>
                <w:sz w:val="28"/>
              </w:rPr>
              <w:t>所</w:t>
            </w:r>
            <w:r w:rsidR="00747131" w:rsidRPr="00F37082">
              <w:rPr>
                <w:rFonts w:ascii="DFKai-SB" w:eastAsia="DFKai-SB" w:hAnsi="DFKai-SB" w:hint="eastAsia"/>
                <w:sz w:val="28"/>
              </w:rPr>
              <w:t>考慮的因素，例如計算上的便捷</w:t>
            </w:r>
            <w:r w:rsidRPr="00F37082">
              <w:rPr>
                <w:rFonts w:ascii="DFKai-SB" w:eastAsia="DFKai-SB" w:hAnsi="DFKai-SB" w:hint="eastAsia"/>
                <w:sz w:val="28"/>
              </w:rPr>
              <w:t>和結果的正確性</w:t>
            </w:r>
            <w:r w:rsidR="00977FD1" w:rsidRPr="00F37082">
              <w:rPr>
                <w:rFonts w:ascii="DFKai-SB" w:eastAsia="DFKai-SB" w:hAnsi="DFKai-SB" w:hint="eastAsia"/>
                <w:sz w:val="28"/>
              </w:rPr>
              <w:t>等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5572E73D" w14:textId="77777777" w:rsidR="00D24B9C" w:rsidRPr="00F37082" w:rsidRDefault="00D24B9C" w:rsidP="00D24B9C">
            <w:pPr>
              <w:pStyle w:val="ListParagraph"/>
              <w:spacing w:line="400" w:lineRule="exact"/>
              <w:ind w:leftChars="0" w:left="360"/>
              <w:jc w:val="both"/>
              <w:rPr>
                <w:rFonts w:ascii="DFKai-SB" w:eastAsia="DFKai-SB" w:hAnsi="DFKai-SB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E302" w14:textId="77777777" w:rsidR="00014C17" w:rsidRPr="00F37082" w:rsidRDefault="008410F3" w:rsidP="00014C17">
            <w:pPr>
              <w:spacing w:line="400" w:lineRule="exact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簡報</w:t>
            </w:r>
            <w:r w:rsidRPr="00F37082">
              <w:rPr>
                <w:rFonts w:eastAsia="DFKai-SB" w:hint="eastAsia"/>
                <w:sz w:val="28"/>
              </w:rPr>
              <w:t>《估計計算結果》</w:t>
            </w:r>
          </w:p>
        </w:tc>
      </w:tr>
      <w:tr w:rsidR="00014C17" w:rsidRPr="00F37082" w14:paraId="29DF0D18" w14:textId="77777777" w:rsidTr="00F37082">
        <w:trPr>
          <w:trHeight w:val="183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69F" w14:textId="77777777" w:rsidR="00014C17" w:rsidRPr="00F37082" w:rsidRDefault="00014C17" w:rsidP="00014C17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總結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14:paraId="3BF1B874" w14:textId="44462D22" w:rsidR="00014C17" w:rsidRPr="00F37082" w:rsidRDefault="00014C17" w:rsidP="00014C17">
            <w:pPr>
              <w:pStyle w:val="ListParagraph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總結估算的目的：簡化計算、快速地得出大約的數值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  <w:p w14:paraId="433E1A0D" w14:textId="09761267" w:rsidR="00014C17" w:rsidRPr="00F37082" w:rsidRDefault="00014C17" w:rsidP="00014C17">
            <w:pPr>
              <w:pStyle w:val="ListParagraph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總結估算的常用技巧：取最接近的整數值</w:t>
            </w:r>
            <w:r w:rsidR="00366C51" w:rsidRPr="00F37082">
              <w:rPr>
                <w:rFonts w:ascii="DFKai-SB" w:eastAsia="DFKai-SB" w:hAnsi="DFKai-SB" w:hint="eastAsia"/>
                <w:sz w:val="28"/>
                <w:lang w:eastAsia="zh-HK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2B61" w14:textId="77777777" w:rsidR="00014C17" w:rsidRPr="00F37082" w:rsidRDefault="003B098A" w:rsidP="00014C17">
            <w:pPr>
              <w:spacing w:line="400" w:lineRule="exact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簡報</w:t>
            </w:r>
            <w:r w:rsidRPr="00F37082">
              <w:rPr>
                <w:rFonts w:eastAsia="DFKai-SB" w:hint="eastAsia"/>
                <w:sz w:val="28"/>
              </w:rPr>
              <w:t>《估計計算結果》</w:t>
            </w:r>
          </w:p>
        </w:tc>
      </w:tr>
      <w:tr w:rsidR="00014C17" w:rsidRPr="00376E78" w14:paraId="0416B846" w14:textId="77777777" w:rsidTr="00F37082">
        <w:trPr>
          <w:trHeight w:val="125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7ED" w14:textId="77777777" w:rsidR="00014C17" w:rsidRPr="00F37082" w:rsidRDefault="00014C17" w:rsidP="00014C17">
            <w:pPr>
              <w:spacing w:line="400" w:lineRule="exact"/>
              <w:jc w:val="center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鞏固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5" w:type="dxa"/>
            </w:tcMar>
          </w:tcPr>
          <w:p w14:paraId="1DD0C082" w14:textId="77777777" w:rsidR="00014C17" w:rsidRPr="00F37082" w:rsidRDefault="00014C17" w:rsidP="00613D2E">
            <w:pPr>
              <w:pStyle w:val="ListParagraph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通過工作紙上的活動，探究在各種情景下不同的估算方法。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F3CC" w14:textId="77777777" w:rsidR="00014C17" w:rsidRPr="00376E78" w:rsidRDefault="00014C17" w:rsidP="00014C17">
            <w:pPr>
              <w:spacing w:line="400" w:lineRule="exact"/>
              <w:jc w:val="both"/>
              <w:rPr>
                <w:rFonts w:ascii="DFKai-SB" w:eastAsia="DFKai-SB" w:hAnsi="DFKai-SB"/>
                <w:sz w:val="28"/>
              </w:rPr>
            </w:pPr>
            <w:r w:rsidRPr="00F37082">
              <w:rPr>
                <w:rFonts w:ascii="DFKai-SB" w:eastAsia="DFKai-SB" w:hAnsi="DFKai-SB" w:hint="eastAsia"/>
                <w:sz w:val="28"/>
              </w:rPr>
              <w:t>工作紙</w:t>
            </w:r>
            <w:r w:rsidR="008410F3" w:rsidRPr="00F37082">
              <w:rPr>
                <w:rFonts w:eastAsia="DFKai-SB" w:hint="eastAsia"/>
                <w:sz w:val="28"/>
              </w:rPr>
              <w:t>《估計計算結果》</w:t>
            </w:r>
          </w:p>
        </w:tc>
      </w:tr>
    </w:tbl>
    <w:p w14:paraId="76A7FCEA" w14:textId="77777777" w:rsidR="009B5E5B" w:rsidRPr="00746B9D" w:rsidRDefault="009B5E5B" w:rsidP="00324477">
      <w:pPr>
        <w:spacing w:line="400" w:lineRule="exact"/>
        <w:rPr>
          <w:lang w:eastAsia="zh-HK"/>
        </w:rPr>
      </w:pPr>
    </w:p>
    <w:sectPr w:rsidR="009B5E5B" w:rsidRPr="00746B9D" w:rsidSect="00C70FC0">
      <w:footerReference w:type="default" r:id="rId11"/>
      <w:pgSz w:w="11906" w:h="16838"/>
      <w:pgMar w:top="992" w:right="680" w:bottom="720" w:left="680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6329" w14:textId="77777777" w:rsidR="00E862AA" w:rsidRDefault="00E862AA">
      <w:r>
        <w:separator/>
      </w:r>
    </w:p>
  </w:endnote>
  <w:endnote w:type="continuationSeparator" w:id="0">
    <w:p w14:paraId="3378F28E" w14:textId="77777777" w:rsidR="00E862AA" w:rsidRDefault="00E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Microsoft JhengHei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684715"/>
      <w:docPartObj>
        <w:docPartGallery w:val="Page Numbers (Bottom of Page)"/>
        <w:docPartUnique/>
      </w:docPartObj>
    </w:sdtPr>
    <w:sdtEndPr/>
    <w:sdtContent>
      <w:p w14:paraId="482BFBBD" w14:textId="77777777" w:rsidR="001015C7" w:rsidRDefault="001015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171" w:rsidRPr="00043171">
          <w:rPr>
            <w:noProof/>
            <w:lang w:val="zh-TW"/>
          </w:rPr>
          <w:t>2</w:t>
        </w:r>
        <w:r>
          <w:fldChar w:fldCharType="end"/>
        </w:r>
      </w:p>
    </w:sdtContent>
  </w:sdt>
  <w:p w14:paraId="5A65549B" w14:textId="77777777" w:rsidR="001015C7" w:rsidRDefault="0010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92A6" w14:textId="77777777" w:rsidR="00E862AA" w:rsidRDefault="00E862AA">
      <w:r>
        <w:separator/>
      </w:r>
    </w:p>
  </w:footnote>
  <w:footnote w:type="continuationSeparator" w:id="0">
    <w:p w14:paraId="15F6476F" w14:textId="77777777" w:rsidR="00E862AA" w:rsidRDefault="00E8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 w15:restartNumberingAfterBreak="0">
    <w:nsid w:val="02B3364B"/>
    <w:multiLevelType w:val="hybridMultilevel"/>
    <w:tmpl w:val="B9FEE474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D429B"/>
    <w:multiLevelType w:val="hybridMultilevel"/>
    <w:tmpl w:val="E7E27D8C"/>
    <w:lvl w:ilvl="0" w:tplc="C1625D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2B273C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9330CC"/>
    <w:multiLevelType w:val="hybridMultilevel"/>
    <w:tmpl w:val="C268B13C"/>
    <w:lvl w:ilvl="0" w:tplc="C0842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C406FBC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665C1"/>
    <w:multiLevelType w:val="hybridMultilevel"/>
    <w:tmpl w:val="EB86144A"/>
    <w:lvl w:ilvl="0" w:tplc="C180DF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C406FBC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73002"/>
    <w:multiLevelType w:val="hybridMultilevel"/>
    <w:tmpl w:val="7B7E02F4"/>
    <w:lvl w:ilvl="0" w:tplc="865E6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4" w15:restartNumberingAfterBreak="0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B002B5"/>
    <w:multiLevelType w:val="hybridMultilevel"/>
    <w:tmpl w:val="6166E194"/>
    <w:lvl w:ilvl="0" w:tplc="7D28F5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446C5"/>
    <w:multiLevelType w:val="hybridMultilevel"/>
    <w:tmpl w:val="F95CD32A"/>
    <w:lvl w:ilvl="0" w:tplc="6A50DF2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907284">
    <w:abstractNumId w:val="11"/>
  </w:num>
  <w:num w:numId="2" w16cid:durableId="2870477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6897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8393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2479863">
    <w:abstractNumId w:val="8"/>
  </w:num>
  <w:num w:numId="6" w16cid:durableId="1860849660">
    <w:abstractNumId w:val="19"/>
  </w:num>
  <w:num w:numId="7" w16cid:durableId="47149376">
    <w:abstractNumId w:val="20"/>
  </w:num>
  <w:num w:numId="8" w16cid:durableId="611287019">
    <w:abstractNumId w:val="15"/>
  </w:num>
  <w:num w:numId="9" w16cid:durableId="1895046450">
    <w:abstractNumId w:val="2"/>
  </w:num>
  <w:num w:numId="10" w16cid:durableId="1154681960">
    <w:abstractNumId w:val="11"/>
  </w:num>
  <w:num w:numId="11" w16cid:durableId="1814446629">
    <w:abstractNumId w:val="9"/>
  </w:num>
  <w:num w:numId="12" w16cid:durableId="1962881673">
    <w:abstractNumId w:val="5"/>
  </w:num>
  <w:num w:numId="13" w16cid:durableId="479420189">
    <w:abstractNumId w:val="13"/>
  </w:num>
  <w:num w:numId="14" w16cid:durableId="338583048">
    <w:abstractNumId w:val="22"/>
  </w:num>
  <w:num w:numId="15" w16cid:durableId="920407716">
    <w:abstractNumId w:val="3"/>
  </w:num>
  <w:num w:numId="16" w16cid:durableId="1946113290">
    <w:abstractNumId w:val="7"/>
  </w:num>
  <w:num w:numId="17" w16cid:durableId="1556887164">
    <w:abstractNumId w:val="18"/>
  </w:num>
  <w:num w:numId="18" w16cid:durableId="51779318">
    <w:abstractNumId w:val="0"/>
  </w:num>
  <w:num w:numId="19" w16cid:durableId="254369112">
    <w:abstractNumId w:val="10"/>
  </w:num>
  <w:num w:numId="20" w16cid:durableId="1268194084">
    <w:abstractNumId w:val="1"/>
  </w:num>
  <w:num w:numId="21" w16cid:durableId="155535638">
    <w:abstractNumId w:val="21"/>
  </w:num>
  <w:num w:numId="22" w16cid:durableId="2018577898">
    <w:abstractNumId w:val="12"/>
  </w:num>
  <w:num w:numId="23" w16cid:durableId="756831928">
    <w:abstractNumId w:val="4"/>
  </w:num>
  <w:num w:numId="24" w16cid:durableId="272594387">
    <w:abstractNumId w:val="17"/>
  </w:num>
  <w:num w:numId="25" w16cid:durableId="289559082">
    <w:abstractNumId w:val="16"/>
  </w:num>
  <w:num w:numId="26" w16cid:durableId="247816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E6"/>
    <w:rsid w:val="00010593"/>
    <w:rsid w:val="00014C17"/>
    <w:rsid w:val="00043171"/>
    <w:rsid w:val="000A36B2"/>
    <w:rsid w:val="000B27C8"/>
    <w:rsid w:val="000C0611"/>
    <w:rsid w:val="000D598E"/>
    <w:rsid w:val="000E0705"/>
    <w:rsid w:val="000E089B"/>
    <w:rsid w:val="001015C7"/>
    <w:rsid w:val="001265BF"/>
    <w:rsid w:val="0014182D"/>
    <w:rsid w:val="00164380"/>
    <w:rsid w:val="001678FF"/>
    <w:rsid w:val="001B0FB1"/>
    <w:rsid w:val="001C17A9"/>
    <w:rsid w:val="001C4631"/>
    <w:rsid w:val="001C4C60"/>
    <w:rsid w:val="001D20BC"/>
    <w:rsid w:val="001E17F7"/>
    <w:rsid w:val="002073C4"/>
    <w:rsid w:val="00230ADF"/>
    <w:rsid w:val="002A23F5"/>
    <w:rsid w:val="002C53B6"/>
    <w:rsid w:val="002D2E35"/>
    <w:rsid w:val="00305C95"/>
    <w:rsid w:val="00324477"/>
    <w:rsid w:val="00332E6E"/>
    <w:rsid w:val="00352A10"/>
    <w:rsid w:val="00366C51"/>
    <w:rsid w:val="003737F3"/>
    <w:rsid w:val="00376E78"/>
    <w:rsid w:val="003B098A"/>
    <w:rsid w:val="003B7182"/>
    <w:rsid w:val="003D0D60"/>
    <w:rsid w:val="004115FA"/>
    <w:rsid w:val="0041241F"/>
    <w:rsid w:val="00416AF1"/>
    <w:rsid w:val="00417B29"/>
    <w:rsid w:val="004268AD"/>
    <w:rsid w:val="0043049C"/>
    <w:rsid w:val="00447291"/>
    <w:rsid w:val="00447358"/>
    <w:rsid w:val="004C0D22"/>
    <w:rsid w:val="004D0C0B"/>
    <w:rsid w:val="004F42A4"/>
    <w:rsid w:val="004F5EB9"/>
    <w:rsid w:val="005043AE"/>
    <w:rsid w:val="00515193"/>
    <w:rsid w:val="00522982"/>
    <w:rsid w:val="005A22E5"/>
    <w:rsid w:val="005C188A"/>
    <w:rsid w:val="005C203B"/>
    <w:rsid w:val="005C755C"/>
    <w:rsid w:val="005D4D3C"/>
    <w:rsid w:val="005D6B2D"/>
    <w:rsid w:val="0060574A"/>
    <w:rsid w:val="00613D2E"/>
    <w:rsid w:val="006236AA"/>
    <w:rsid w:val="00652B70"/>
    <w:rsid w:val="00665771"/>
    <w:rsid w:val="00667054"/>
    <w:rsid w:val="006C7E81"/>
    <w:rsid w:val="006D01A8"/>
    <w:rsid w:val="006D0B32"/>
    <w:rsid w:val="006D21E6"/>
    <w:rsid w:val="007237E4"/>
    <w:rsid w:val="00723B04"/>
    <w:rsid w:val="00740A03"/>
    <w:rsid w:val="00746B9D"/>
    <w:rsid w:val="00747131"/>
    <w:rsid w:val="00763C37"/>
    <w:rsid w:val="00764161"/>
    <w:rsid w:val="00766EF9"/>
    <w:rsid w:val="0077090B"/>
    <w:rsid w:val="00774A25"/>
    <w:rsid w:val="00775D73"/>
    <w:rsid w:val="007A1367"/>
    <w:rsid w:val="007A379E"/>
    <w:rsid w:val="007D7C5D"/>
    <w:rsid w:val="007E194F"/>
    <w:rsid w:val="007E77C4"/>
    <w:rsid w:val="00810905"/>
    <w:rsid w:val="0083171C"/>
    <w:rsid w:val="008352E6"/>
    <w:rsid w:val="008410F3"/>
    <w:rsid w:val="00862AE8"/>
    <w:rsid w:val="0087219B"/>
    <w:rsid w:val="008946A6"/>
    <w:rsid w:val="008D2213"/>
    <w:rsid w:val="00915192"/>
    <w:rsid w:val="00934FE2"/>
    <w:rsid w:val="0093727C"/>
    <w:rsid w:val="009758DE"/>
    <w:rsid w:val="00977FD1"/>
    <w:rsid w:val="009B5E5B"/>
    <w:rsid w:val="009C03A8"/>
    <w:rsid w:val="00A10FD3"/>
    <w:rsid w:val="00A20636"/>
    <w:rsid w:val="00A530AB"/>
    <w:rsid w:val="00A90A90"/>
    <w:rsid w:val="00AB7F50"/>
    <w:rsid w:val="00AF150E"/>
    <w:rsid w:val="00B25ED0"/>
    <w:rsid w:val="00B402AA"/>
    <w:rsid w:val="00B52074"/>
    <w:rsid w:val="00B72E8F"/>
    <w:rsid w:val="00B9377C"/>
    <w:rsid w:val="00BA2AF1"/>
    <w:rsid w:val="00BD3B85"/>
    <w:rsid w:val="00BD658A"/>
    <w:rsid w:val="00BF7D2F"/>
    <w:rsid w:val="00C1281F"/>
    <w:rsid w:val="00C55062"/>
    <w:rsid w:val="00C70FC0"/>
    <w:rsid w:val="00C73062"/>
    <w:rsid w:val="00C84FC0"/>
    <w:rsid w:val="00CB0C54"/>
    <w:rsid w:val="00CD0AA0"/>
    <w:rsid w:val="00CD50EC"/>
    <w:rsid w:val="00CE378C"/>
    <w:rsid w:val="00D1567A"/>
    <w:rsid w:val="00D24B9C"/>
    <w:rsid w:val="00D3178E"/>
    <w:rsid w:val="00D57A26"/>
    <w:rsid w:val="00D737C9"/>
    <w:rsid w:val="00D97E79"/>
    <w:rsid w:val="00DA1572"/>
    <w:rsid w:val="00DB1A65"/>
    <w:rsid w:val="00E02C19"/>
    <w:rsid w:val="00E83669"/>
    <w:rsid w:val="00E862AA"/>
    <w:rsid w:val="00EA0595"/>
    <w:rsid w:val="00EC7747"/>
    <w:rsid w:val="00ED53A1"/>
    <w:rsid w:val="00EE7466"/>
    <w:rsid w:val="00EF5262"/>
    <w:rsid w:val="00F122F3"/>
    <w:rsid w:val="00F129FD"/>
    <w:rsid w:val="00F1300E"/>
    <w:rsid w:val="00F17CDC"/>
    <w:rsid w:val="00F276B3"/>
    <w:rsid w:val="00F37082"/>
    <w:rsid w:val="00F5154A"/>
    <w:rsid w:val="00F81CEF"/>
    <w:rsid w:val="00F871AE"/>
    <w:rsid w:val="00F97AA8"/>
    <w:rsid w:val="00FB3041"/>
    <w:rsid w:val="00FC49FC"/>
    <w:rsid w:val="00FF1B2B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19FC20"/>
  <w15:docId w15:val="{1E5C887D-0A4E-46B7-B86C-3439756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29FD"/>
    <w:pPr>
      <w:ind w:leftChars="200" w:left="480"/>
    </w:pPr>
  </w:style>
  <w:style w:type="paragraph" w:styleId="Header">
    <w:name w:val="header"/>
    <w:basedOn w:val="Normal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semiHidden/>
    <w:rsid w:val="00F129FD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uiPriority w:val="99"/>
    <w:rsid w:val="00F129FD"/>
    <w:rPr>
      <w:rFonts w:ascii="Times New Roman" w:eastAsia="PMingLiU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DFKai-SB" w:eastAsia="DFKai-SB" w:hAnsi="MingLiU"/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F276B3"/>
    <w:rPr>
      <w:rFonts w:ascii="DFKai-SB" w:eastAsia="DFKai-SB" w:hAnsi="MingLiU"/>
      <w:b/>
      <w:bCs/>
      <w:kern w:val="2"/>
      <w:sz w:val="44"/>
      <w:szCs w:val="24"/>
    </w:rPr>
  </w:style>
  <w:style w:type="table" w:styleId="TableGrid">
    <w:name w:val="Table Grid"/>
    <w:basedOn w:val="TableNormal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D3C49EE8EEA6740B39D0ECC0BCC6B86" ma:contentTypeVersion="15" ma:contentTypeDescription="建立新的文件。" ma:contentTypeScope="" ma:versionID="eb1e5ef60ff1a02cee467302245c7add">
  <xsd:schema xmlns:xsd="http://www.w3.org/2001/XMLSchema" xmlns:xs="http://www.w3.org/2001/XMLSchema" xmlns:p="http://schemas.microsoft.com/office/2006/metadata/properties" xmlns:ns2="be10bda4-e129-4436-a06e-116a5a023c65" xmlns:ns3="ad3ccf98-6ee7-4512-8700-e00310073156" targetNamespace="http://schemas.microsoft.com/office/2006/metadata/properties" ma:root="true" ma:fieldsID="471418869a1cf5463f336c9274d9a57f" ns2:_="" ns3:_="">
    <xsd:import namespace="be10bda4-e129-4436-a06e-116a5a023c65"/>
    <xsd:import namespace="ad3ccf98-6ee7-4512-8700-e0031007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bda4-e129-4436-a06e-116a5a023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cf98-6ee7-4512-8700-e0031007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c8ec9b-ed48-4177-9cb3-3c702abb974b}" ma:internalName="TaxCatchAll" ma:showField="CatchAllData" ma:web="ad3ccf98-6ee7-4512-8700-e0031007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ccf98-6ee7-4512-8700-e00310073156" xsi:nil="true"/>
    <lcf76f155ced4ddcb4097134ff3c332f xmlns="be10bda4-e129-4436-a06e-116a5a023c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2F2B4-0180-4C38-B774-0AAC0165D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C9671-0A60-4C9B-9F16-1417FB1A7C12}"/>
</file>

<file path=customXml/itemProps3.xml><?xml version="1.0" encoding="utf-8"?>
<ds:datastoreItem xmlns:ds="http://schemas.openxmlformats.org/officeDocument/2006/customXml" ds:itemID="{5EA7A96D-F2A5-4579-8F1B-3980E307B194}">
  <ds:schemaRefs>
    <ds:schemaRef ds:uri="http://schemas.microsoft.com/office/2006/metadata/properties"/>
    <ds:schemaRef ds:uri="http://schemas.microsoft.com/office/infopath/2007/PartnerControls"/>
    <ds:schemaRef ds:uri="ad3ccf98-6ee7-4512-8700-e00310073156"/>
    <ds:schemaRef ds:uri="be10bda4-e129-4436-a06e-116a5a023c65"/>
  </ds:schemaRefs>
</ds:datastoreItem>
</file>

<file path=customXml/itemProps4.xml><?xml version="1.0" encoding="utf-8"?>
<ds:datastoreItem xmlns:ds="http://schemas.openxmlformats.org/officeDocument/2006/customXml" ds:itemID="{0B25329F-0E43-4E2A-A0BA-3164FEB2D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WONG, Chi-yuen Norman</cp:lastModifiedBy>
  <cp:revision>46</cp:revision>
  <cp:lastPrinted>2019-06-12T01:39:00Z</cp:lastPrinted>
  <dcterms:created xsi:type="dcterms:W3CDTF">2017-02-14T04:51:00Z</dcterms:created>
  <dcterms:modified xsi:type="dcterms:W3CDTF">2022-04-22T02:43:00Z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0x0101002D3C49EE8EEA6740B39D0ECC0BCC6B86</vt:lpwstr>
  </property>
  <property fmtid="{D5CDD505-2E9C-101B-9397-08002B2CF9AE}" pid="3" name="MediaServiceImageTags">
    <vt:lpwstr/>
  </property>
</Properties>
</file>