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88" w:rsidRPr="000A11FA" w:rsidRDefault="008473D7">
      <w:pPr>
        <w:pStyle w:val="Default"/>
        <w:rPr>
          <w:rFonts w:ascii="新細明體" w:eastAsia="新細明體" w:hAnsi="新細明體" w:cs="PingFang TC Regular" w:hint="default"/>
          <w:b/>
          <w:sz w:val="28"/>
          <w:szCs w:val="28"/>
        </w:rPr>
      </w:pPr>
      <w:r w:rsidRPr="000A11FA">
        <w:rPr>
          <w:rFonts w:ascii="新細明體" w:eastAsia="新細明體" w:hAnsi="新細明體"/>
          <w:b/>
          <w:sz w:val="28"/>
          <w:szCs w:val="28"/>
        </w:rPr>
        <w:t>教學建議</w:t>
      </w:r>
    </w:p>
    <w:p w:rsidR="00C84488" w:rsidRPr="000A11FA" w:rsidRDefault="00C84488">
      <w:pPr>
        <w:pStyle w:val="Default"/>
        <w:rPr>
          <w:rFonts w:ascii="新細明體" w:eastAsia="新細明體" w:hAnsi="新細明體" w:cs="PingFang TC Regular" w:hint="default"/>
          <w:sz w:val="24"/>
          <w:szCs w:val="24"/>
        </w:rPr>
      </w:pPr>
    </w:p>
    <w:p w:rsidR="00C84488" w:rsidRPr="000A11FA" w:rsidRDefault="008473D7">
      <w:pPr>
        <w:pStyle w:val="Default"/>
        <w:rPr>
          <w:rFonts w:ascii="新細明體" w:eastAsia="新細明體" w:hAnsi="新細明體" w:cs="PingFang TC Regular" w:hint="default"/>
          <w:b/>
          <w:sz w:val="24"/>
          <w:szCs w:val="24"/>
        </w:rPr>
      </w:pPr>
      <w:r w:rsidRPr="000A11FA">
        <w:rPr>
          <w:rFonts w:ascii="新細明體" w:eastAsia="新細明體" w:hAnsi="新細明體"/>
          <w:b/>
          <w:sz w:val="24"/>
          <w:szCs w:val="24"/>
        </w:rPr>
        <w:t>整體發展</w:t>
      </w:r>
    </w:p>
    <w:p w:rsidR="00C84488" w:rsidRPr="000A11FA" w:rsidRDefault="008473D7" w:rsidP="000307F3">
      <w:pPr>
        <w:pStyle w:val="Default"/>
        <w:numPr>
          <w:ilvl w:val="0"/>
          <w:numId w:val="1"/>
        </w:numPr>
        <w:spacing w:afterLines="50" w:after="120"/>
        <w:ind w:left="540" w:hangingChars="225"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本單元假設學生已經有倍數和因數的概念，且懂得如何寫出</w:t>
      </w:r>
      <w:proofErr w:type="gramStart"/>
      <w:r w:rsidRPr="000A11FA">
        <w:rPr>
          <w:rFonts w:ascii="新細明體" w:eastAsia="新細明體" w:hAnsi="新細明體"/>
          <w:sz w:val="24"/>
          <w:szCs w:val="24"/>
        </w:rPr>
        <w:t>一</w:t>
      </w:r>
      <w:proofErr w:type="gramEnd"/>
      <w:r w:rsidRPr="000A11FA">
        <w:rPr>
          <w:rFonts w:ascii="新細明體" w:eastAsia="新細明體" w:hAnsi="新細明體"/>
          <w:sz w:val="24"/>
          <w:szCs w:val="24"/>
        </w:rPr>
        <w:t>個數的倍數</w:t>
      </w:r>
      <w:r w:rsidR="000307F3">
        <w:rPr>
          <w:rFonts w:ascii="新細明體" w:eastAsia="新細明體" w:hAnsi="新細明體"/>
          <w:sz w:val="24"/>
          <w:szCs w:val="24"/>
        </w:rPr>
        <w:t>及</w:t>
      </w:r>
      <w:r w:rsidRPr="000A11FA">
        <w:rPr>
          <w:rFonts w:ascii="新細明體" w:eastAsia="新細明體" w:hAnsi="新細明體"/>
          <w:sz w:val="24"/>
          <w:szCs w:val="24"/>
        </w:rPr>
        <w:t>因數。</w:t>
      </w:r>
    </w:p>
    <w:p w:rsidR="00C84488" w:rsidRPr="000A11FA" w:rsidRDefault="008473D7" w:rsidP="000307F3">
      <w:pPr>
        <w:pStyle w:val="Default"/>
        <w:numPr>
          <w:ilvl w:val="0"/>
          <w:numId w:val="1"/>
        </w:numPr>
        <w:spacing w:afterLines="50" w:after="120"/>
        <w:ind w:left="540" w:hangingChars="225"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為了鞏固這兩個重要概念，與及它們如何建基於乘法和除法之上，本教材包括了相關的工作紙，讓學生更多的熟習不同概念之間的連繫。</w:t>
      </w:r>
    </w:p>
    <w:p w:rsidR="000A11FA" w:rsidRPr="000A11FA" w:rsidRDefault="008473D7" w:rsidP="000307F3">
      <w:pPr>
        <w:pStyle w:val="Default"/>
        <w:numPr>
          <w:ilvl w:val="0"/>
          <w:numId w:val="1"/>
        </w:numPr>
        <w:spacing w:afterLines="50" w:after="120"/>
        <w:ind w:left="540" w:hangingChars="225"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在學習公因數、公倍數、最大公因數和最小公倍數方面，本教材建議通過日常生活的現實情境來引入，以幫助學生</w:t>
      </w:r>
      <w:r w:rsidR="00DA236C">
        <w:rPr>
          <w:rFonts w:ascii="新細明體" w:eastAsia="新細明體" w:hAnsi="新細明體"/>
          <w:sz w:val="24"/>
          <w:szCs w:val="24"/>
        </w:rPr>
        <w:t>了</w:t>
      </w:r>
      <w:r w:rsidRPr="000A11FA">
        <w:rPr>
          <w:rFonts w:ascii="新細明體" w:eastAsia="新細明體" w:hAnsi="新細明體"/>
          <w:sz w:val="24"/>
          <w:szCs w:val="24"/>
        </w:rPr>
        <w:t>解這幾個概念的具體意義。目的是建立這幾個概念的理解，而重點卻不一定是它們的應用。</w:t>
      </w:r>
    </w:p>
    <w:p w:rsidR="00C84488" w:rsidRPr="000A11FA" w:rsidRDefault="008473D7" w:rsidP="000A11FA">
      <w:pPr>
        <w:pStyle w:val="Default"/>
        <w:numPr>
          <w:ilvl w:val="0"/>
          <w:numId w:val="1"/>
        </w:numPr>
        <w:ind w:left="540"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本教材依據課程的要求，期望學生能夠分別列舉兩個數的倍數或因數，從而找出公倍數或公因數，或最小</w:t>
      </w:r>
      <w:r w:rsidR="00E830C9">
        <w:rPr>
          <w:rFonts w:ascii="新細明體" w:eastAsia="新細明體" w:hAnsi="新細明體"/>
          <w:sz w:val="24"/>
          <w:szCs w:val="24"/>
        </w:rPr>
        <w:t>公</w:t>
      </w:r>
      <w:r w:rsidRPr="000A11FA">
        <w:rPr>
          <w:rFonts w:ascii="新細明體" w:eastAsia="新細明體" w:hAnsi="新細明體"/>
          <w:sz w:val="24"/>
          <w:szCs w:val="24"/>
        </w:rPr>
        <w:t>倍數或最大公因數。</w:t>
      </w:r>
    </w:p>
    <w:p w:rsidR="00C84488" w:rsidRPr="000A11FA" w:rsidRDefault="00C84488">
      <w:pPr>
        <w:pStyle w:val="Default"/>
        <w:rPr>
          <w:rFonts w:ascii="新細明體" w:eastAsia="新細明體" w:hAnsi="新細明體" w:cs="Helvetica" w:hint="default"/>
          <w:sz w:val="24"/>
          <w:szCs w:val="24"/>
        </w:rPr>
      </w:pPr>
    </w:p>
    <w:p w:rsidR="00C84488" w:rsidRPr="000A11FA" w:rsidRDefault="00C84488">
      <w:pPr>
        <w:pStyle w:val="Default"/>
        <w:rPr>
          <w:rFonts w:ascii="新細明體" w:eastAsia="新細明體" w:hAnsi="新細明體" w:cs="Helvetica" w:hint="default"/>
          <w:sz w:val="24"/>
          <w:szCs w:val="24"/>
        </w:rPr>
      </w:pPr>
    </w:p>
    <w:p w:rsidR="00C84488" w:rsidRPr="000A11FA" w:rsidRDefault="008473D7">
      <w:pPr>
        <w:pStyle w:val="Default"/>
        <w:rPr>
          <w:rFonts w:ascii="新細明體" w:eastAsia="新細明體" w:hAnsi="新細明體" w:cs="Helvetica" w:hint="default"/>
          <w:b/>
          <w:sz w:val="24"/>
          <w:szCs w:val="24"/>
        </w:rPr>
      </w:pPr>
      <w:r w:rsidRPr="000A11FA">
        <w:rPr>
          <w:rFonts w:ascii="新細明體" w:eastAsia="新細明體" w:hAnsi="新細明體"/>
          <w:b/>
          <w:sz w:val="24"/>
          <w:szCs w:val="24"/>
        </w:rPr>
        <w:t>公倍數和最小公倍數</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學生應有倍數的知識。本課重點是介紹公倍數和最小公倍數的基本概念。</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本課設計利用特定情境（數學模型）</w:t>
      </w:r>
      <w:r w:rsidRPr="000A11FA">
        <w:rPr>
          <w:rFonts w:ascii="新細明體" w:eastAsia="新細明體" w:hAnsi="新細明體"/>
          <w:sz w:val="24"/>
          <w:szCs w:val="24"/>
          <w:lang w:val="zh-CN" w:eastAsia="zh-CN"/>
        </w:rPr>
        <w:t>以建立公</w:t>
      </w:r>
      <w:r w:rsidRPr="000A11FA">
        <w:rPr>
          <w:rFonts w:ascii="新細明體" w:eastAsia="新細明體" w:hAnsi="新細明體"/>
          <w:sz w:val="24"/>
          <w:szCs w:val="24"/>
        </w:rPr>
        <w:t>倍數的概念，其中建議情境有兩種。然而這並不表示其他情境或模型不可兼容。實際課堂教學可以只通過其中一種情境和學生討論，引領學生明白公倍數和最小公倍數的具體意義。對於倍數和公倍數的理解，學生可能需要較長時間或從不同角度理解。</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本課的主要情境是考慮兩個不同間距，設想它們一併開始</w:t>
      </w:r>
      <w:r w:rsidR="000307F3">
        <w:rPr>
          <w:rFonts w:ascii="新細明體" w:eastAsia="新細明體" w:hAnsi="新細明體"/>
          <w:sz w:val="24"/>
          <w:szCs w:val="24"/>
        </w:rPr>
        <w:t>自我</w:t>
      </w:r>
      <w:r w:rsidRPr="000A11FA">
        <w:rPr>
          <w:rFonts w:ascii="新細明體" w:eastAsia="新細明體" w:hAnsi="新細明體"/>
          <w:sz w:val="24"/>
          <w:szCs w:val="24"/>
        </w:rPr>
        <w:t>重複（疊加），由於間距不同，各自重複（倍增）時兩者不一定相遇，問題正是找出兩者何時相遇。在</w:t>
      </w:r>
      <w:r w:rsidR="00464B0A" w:rsidRPr="00464B0A">
        <w:rPr>
          <w:rFonts w:ascii="新細明體" w:eastAsia="新細明體" w:hAnsi="新細明體" w:cs="新細明體"/>
          <w:b/>
          <w:sz w:val="24"/>
          <w:szCs w:val="24"/>
        </w:rPr>
        <w:t>《</w:t>
      </w:r>
      <w:r w:rsidR="00464B0A">
        <w:rPr>
          <w:rFonts w:ascii="新細明體" w:eastAsia="新細明體" w:hAnsi="新細明體" w:cs="新細明體"/>
          <w:b/>
          <w:sz w:val="24"/>
          <w:szCs w:val="24"/>
        </w:rPr>
        <w:t>公倍數(動物) 簡報</w:t>
      </w:r>
      <w:r w:rsidR="00464B0A" w:rsidRPr="00464B0A">
        <w:rPr>
          <w:rFonts w:ascii="新細明體" w:eastAsia="新細明體" w:hAnsi="新細明體" w:cs="新細明體"/>
          <w:b/>
          <w:sz w:val="24"/>
          <w:szCs w:val="24"/>
        </w:rPr>
        <w:t>》</w:t>
      </w:r>
      <w:r w:rsidR="00464B0A" w:rsidRPr="000A11FA">
        <w:rPr>
          <w:rFonts w:ascii="新細明體" w:eastAsia="新細明體" w:hAnsi="新細明體"/>
          <w:sz w:val="24"/>
          <w:szCs w:val="24"/>
        </w:rPr>
        <w:t>中</w:t>
      </w:r>
      <w:r w:rsidRPr="000A11FA">
        <w:rPr>
          <w:rFonts w:ascii="新細明體" w:eastAsia="新細明體" w:hAnsi="新細明體"/>
          <w:sz w:val="24"/>
          <w:szCs w:val="24"/>
        </w:rPr>
        <w:t>，間距就是</w:t>
      </w:r>
      <w:r w:rsidR="00464B0A" w:rsidRPr="000A11FA">
        <w:rPr>
          <w:rFonts w:ascii="新細明體" w:eastAsia="新細明體" w:hAnsi="新細明體"/>
          <w:sz w:val="24"/>
          <w:szCs w:val="24"/>
        </w:rPr>
        <w:t>青蛙和兔子</w:t>
      </w:r>
      <w:r w:rsidRPr="000A11FA">
        <w:rPr>
          <w:rFonts w:ascii="新細明體" w:eastAsia="新細明體" w:hAnsi="新細明體"/>
          <w:sz w:val="24"/>
          <w:szCs w:val="24"/>
        </w:rPr>
        <w:t>每一跳的距離；在</w:t>
      </w:r>
      <w:r w:rsidR="00464B0A" w:rsidRPr="00464B0A">
        <w:rPr>
          <w:rFonts w:ascii="新細明體" w:eastAsia="新細明體" w:hAnsi="新細明體" w:cs="新細明體"/>
          <w:b/>
          <w:sz w:val="24"/>
          <w:szCs w:val="24"/>
        </w:rPr>
        <w:t>《</w:t>
      </w:r>
      <w:r w:rsidR="00464B0A">
        <w:rPr>
          <w:rFonts w:ascii="新細明體" w:eastAsia="新細明體" w:hAnsi="新細明體" w:cs="新細明體"/>
          <w:b/>
          <w:sz w:val="24"/>
          <w:szCs w:val="24"/>
        </w:rPr>
        <w:t>公倍數(</w:t>
      </w:r>
      <w:r w:rsidR="00464B0A">
        <w:rPr>
          <w:rFonts w:ascii="新細明體" w:eastAsia="新細明體" w:hAnsi="新細明體" w:cs="新細明體"/>
          <w:b/>
          <w:sz w:val="24"/>
          <w:szCs w:val="24"/>
        </w:rPr>
        <w:t>藥</w:t>
      </w:r>
      <w:r w:rsidR="00464B0A">
        <w:rPr>
          <w:rFonts w:ascii="新細明體" w:eastAsia="新細明體" w:hAnsi="新細明體" w:cs="新細明體"/>
          <w:b/>
          <w:sz w:val="24"/>
          <w:szCs w:val="24"/>
        </w:rPr>
        <w:t>物) 簡報</w:t>
      </w:r>
      <w:r w:rsidR="00464B0A" w:rsidRPr="00464B0A">
        <w:rPr>
          <w:rFonts w:ascii="新細明體" w:eastAsia="新細明體" w:hAnsi="新細明體" w:cs="新細明體"/>
          <w:b/>
          <w:sz w:val="24"/>
          <w:szCs w:val="24"/>
        </w:rPr>
        <w:t>》</w:t>
      </w:r>
      <w:r w:rsidR="00464B0A" w:rsidRPr="000A11FA">
        <w:rPr>
          <w:rFonts w:ascii="新細明體" w:eastAsia="新細明體" w:hAnsi="新細明體"/>
          <w:sz w:val="24"/>
          <w:szCs w:val="24"/>
        </w:rPr>
        <w:t>中</w:t>
      </w:r>
      <w:r w:rsidRPr="000A11FA">
        <w:rPr>
          <w:rFonts w:ascii="新細明體" w:eastAsia="新細明體" w:hAnsi="新細明體"/>
          <w:sz w:val="24"/>
          <w:szCs w:val="24"/>
        </w:rPr>
        <w:t>，間距</w:t>
      </w:r>
      <w:r w:rsidR="00464B0A" w:rsidRPr="000A11FA">
        <w:rPr>
          <w:rFonts w:ascii="新細明體" w:eastAsia="新細明體" w:hAnsi="新細明體"/>
          <w:sz w:val="24"/>
          <w:szCs w:val="24"/>
        </w:rPr>
        <w:t>就</w:t>
      </w:r>
      <w:r w:rsidRPr="000A11FA">
        <w:rPr>
          <w:rFonts w:ascii="新細明體" w:eastAsia="新細明體" w:hAnsi="新細明體"/>
          <w:sz w:val="24"/>
          <w:szCs w:val="24"/>
        </w:rPr>
        <w:t>是每一次服藥跟上</w:t>
      </w:r>
      <w:proofErr w:type="gramStart"/>
      <w:r w:rsidRPr="000A11FA">
        <w:rPr>
          <w:rFonts w:ascii="新細明體" w:eastAsia="新細明體" w:hAnsi="新細明體"/>
          <w:sz w:val="24"/>
          <w:szCs w:val="24"/>
        </w:rPr>
        <w:t>一次相隔的</w:t>
      </w:r>
      <w:proofErr w:type="gramEnd"/>
      <w:r w:rsidRPr="000A11FA">
        <w:rPr>
          <w:rFonts w:ascii="新細明體" w:eastAsia="新細明體" w:hAnsi="新細明體"/>
          <w:sz w:val="24"/>
          <w:szCs w:val="24"/>
        </w:rPr>
        <w:t>時間。前者固然是長度的比較，後者雖然在圖像的表達上是長度，但實在是時間長短的比較。</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老師先讓學生</w:t>
      </w:r>
      <w:r w:rsidR="00DA236C">
        <w:rPr>
          <w:rFonts w:ascii="新細明體" w:eastAsia="新細明體" w:hAnsi="新細明體"/>
          <w:sz w:val="24"/>
          <w:szCs w:val="24"/>
        </w:rPr>
        <w:t>了</w:t>
      </w:r>
      <w:r w:rsidRPr="000A11FA">
        <w:rPr>
          <w:rFonts w:ascii="新細明體" w:eastAsia="新細明體" w:hAnsi="新細明體"/>
          <w:sz w:val="24"/>
          <w:szCs w:val="24"/>
        </w:rPr>
        <w:t>解青蛙跳（或另外兔子跳）跟倍數概念的關聯，然後再強調一起於同一</w:t>
      </w:r>
      <w:proofErr w:type="gramStart"/>
      <w:r w:rsidRPr="000A11FA">
        <w:rPr>
          <w:rFonts w:ascii="新細明體" w:eastAsia="新細明體" w:hAnsi="新細明體"/>
          <w:sz w:val="24"/>
          <w:szCs w:val="24"/>
        </w:rPr>
        <w:t>個</w:t>
      </w:r>
      <w:proofErr w:type="gramEnd"/>
      <w:r w:rsidRPr="000A11FA">
        <w:rPr>
          <w:rFonts w:ascii="新細明體" w:eastAsia="新細明體" w:hAnsi="新細明體"/>
          <w:sz w:val="24"/>
          <w:szCs w:val="24"/>
        </w:rPr>
        <w:t>位置起跳，以考慮往後</w:t>
      </w:r>
      <w:proofErr w:type="gramStart"/>
      <w:r w:rsidRPr="000A11FA">
        <w:rPr>
          <w:rFonts w:ascii="新細明體" w:eastAsia="新細明體" w:hAnsi="新細明體"/>
          <w:sz w:val="24"/>
          <w:szCs w:val="24"/>
        </w:rPr>
        <w:t>牠</w:t>
      </w:r>
      <w:proofErr w:type="gramEnd"/>
      <w:r w:rsidRPr="000A11FA">
        <w:rPr>
          <w:rFonts w:ascii="新細明體" w:eastAsia="新細明體" w:hAnsi="新細明體"/>
          <w:sz w:val="24"/>
          <w:szCs w:val="24"/>
        </w:rPr>
        <w:t>們共同可跳到哪一個位置，這樣才連</w:t>
      </w:r>
      <w:proofErr w:type="gramStart"/>
      <w:r w:rsidRPr="000A11FA">
        <w:rPr>
          <w:rFonts w:ascii="新細明體" w:eastAsia="新細明體" w:hAnsi="新細明體"/>
          <w:sz w:val="24"/>
          <w:szCs w:val="24"/>
        </w:rPr>
        <w:t>繫</w:t>
      </w:r>
      <w:proofErr w:type="gramEnd"/>
      <w:r w:rsidRPr="000A11FA">
        <w:rPr>
          <w:rFonts w:ascii="新細明體" w:eastAsia="新細明體" w:hAnsi="新細明體"/>
          <w:sz w:val="24"/>
          <w:szCs w:val="24"/>
        </w:rPr>
        <w:t>到「公倍數」的概念。最後才再提出問題：哪裡是第一個牠們都可共同跳到的位置？那便是「最小公倍數」的意思。</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服食兩種</w:t>
      </w:r>
      <w:r w:rsidR="00DA236C">
        <w:rPr>
          <w:rFonts w:ascii="新細明體" w:eastAsia="新細明體" w:hAnsi="新細明體"/>
          <w:sz w:val="24"/>
          <w:szCs w:val="24"/>
        </w:rPr>
        <w:t>藥物</w:t>
      </w:r>
      <w:r w:rsidRPr="000A11FA">
        <w:rPr>
          <w:rFonts w:ascii="新細明體" w:eastAsia="新細明體" w:hAnsi="新細明體"/>
          <w:sz w:val="24"/>
          <w:szCs w:val="24"/>
        </w:rPr>
        <w:t>的情境也大致相同，要首先確立服藥時間跟倍數的具體連</w:t>
      </w:r>
      <w:proofErr w:type="gramStart"/>
      <w:r w:rsidRPr="000A11FA">
        <w:rPr>
          <w:rFonts w:ascii="新細明體" w:eastAsia="新細明體" w:hAnsi="新細明體"/>
          <w:sz w:val="24"/>
          <w:szCs w:val="24"/>
        </w:rPr>
        <w:t>繫</w:t>
      </w:r>
      <w:proofErr w:type="gramEnd"/>
      <w:r w:rsidRPr="000A11FA">
        <w:rPr>
          <w:rFonts w:ascii="新細明體" w:eastAsia="新細明體" w:hAnsi="新細明體"/>
          <w:sz w:val="24"/>
          <w:szCs w:val="24"/>
        </w:rPr>
        <w:t>，才進一步引領學生考慮同時服用兩種</w:t>
      </w:r>
      <w:r w:rsidR="00DA236C">
        <w:rPr>
          <w:rFonts w:ascii="新細明體" w:eastAsia="新細明體" w:hAnsi="新細明體"/>
          <w:sz w:val="24"/>
          <w:szCs w:val="24"/>
        </w:rPr>
        <w:t>藥物</w:t>
      </w:r>
      <w:r w:rsidRPr="000A11FA">
        <w:rPr>
          <w:rFonts w:ascii="新細明體" w:eastAsia="新細明體" w:hAnsi="新細明體"/>
          <w:sz w:val="24"/>
          <w:szCs w:val="24"/>
        </w:rPr>
        <w:t>以至公倍數的概念。因着學生不同的想像能力，不能輕率假設學生很容易就將服藥的時間連繫於圖像中的長度間距表示。老師可以</w:t>
      </w:r>
      <w:r w:rsidR="00DA236C">
        <w:rPr>
          <w:rFonts w:ascii="新細明體" w:eastAsia="新細明體" w:hAnsi="新細明體"/>
          <w:sz w:val="24"/>
          <w:szCs w:val="24"/>
        </w:rPr>
        <w:t>用</w:t>
      </w:r>
      <w:r w:rsidRPr="000A11FA">
        <w:rPr>
          <w:rFonts w:ascii="新細明體" w:eastAsia="新細明體" w:hAnsi="新細明體"/>
          <w:sz w:val="24"/>
          <w:szCs w:val="24"/>
        </w:rPr>
        <w:t>圖中某一兩</w:t>
      </w:r>
      <w:proofErr w:type="gramStart"/>
      <w:r w:rsidRPr="000A11FA">
        <w:rPr>
          <w:rFonts w:ascii="新細明體" w:eastAsia="新細明體" w:hAnsi="新細明體"/>
          <w:sz w:val="24"/>
          <w:szCs w:val="24"/>
        </w:rPr>
        <w:t>個</w:t>
      </w:r>
      <w:proofErr w:type="gramEnd"/>
      <w:r w:rsidRPr="000A11FA">
        <w:rPr>
          <w:rFonts w:ascii="新細明體" w:eastAsia="新細明體" w:hAnsi="新細明體"/>
          <w:sz w:val="24"/>
          <w:szCs w:val="24"/>
        </w:rPr>
        <w:t>位置如何代表若干小時後的服藥時間作小心解說。</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兩個情境都可讓學生明白「最小公倍數」的具體意義（即第一次「相遇」），也能引領學生想像公倍數是可以不斷數下去的。將公倍數列出（正如投影片所示），也能看出公倍數如何一個一個以最小公倍數倍增下去。</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PingFang TC Regular" w:hint="default"/>
          <w:sz w:val="24"/>
          <w:szCs w:val="24"/>
        </w:rPr>
      </w:pPr>
      <w:r w:rsidRPr="000A11FA">
        <w:rPr>
          <w:rFonts w:ascii="新細明體" w:eastAsia="新細明體" w:hAnsi="新細明體"/>
          <w:sz w:val="24"/>
          <w:szCs w:val="24"/>
        </w:rPr>
        <w:t>通過一個情境及其中的解說，尤其注意某些數學概念、其圖像表示及描述如何連結於情境中的具體意義，固然可初步介紹名詞「公倍數」和「最小公倍數」。然而學生可能需要多一點不同間距（長度或時段）作例子以逐漸了解這些名詞的意義。</w:t>
      </w:r>
    </w:p>
    <w:p w:rsidR="00C84488" w:rsidRPr="000A11FA" w:rsidRDefault="00464B0A" w:rsidP="00464B0A">
      <w:pPr>
        <w:pStyle w:val="Default"/>
        <w:numPr>
          <w:ilvl w:val="1"/>
          <w:numId w:val="3"/>
        </w:numPr>
        <w:spacing w:afterLines="50" w:after="120"/>
        <w:ind w:left="541" w:hangingChars="225" w:hanging="541"/>
        <w:rPr>
          <w:rFonts w:ascii="新細明體" w:eastAsia="新細明體" w:hAnsi="新細明體" w:cs="Helvetica" w:hint="default"/>
          <w:sz w:val="24"/>
          <w:szCs w:val="24"/>
        </w:rPr>
      </w:pPr>
      <w:r w:rsidRPr="00464B0A">
        <w:rPr>
          <w:rFonts w:ascii="新細明體" w:eastAsia="新細明體" w:hAnsi="新細明體" w:cs="新細明體"/>
          <w:b/>
          <w:sz w:val="24"/>
          <w:szCs w:val="24"/>
        </w:rPr>
        <w:t>《</w:t>
      </w:r>
      <w:r>
        <w:rPr>
          <w:rFonts w:ascii="新細明體" w:eastAsia="新細明體" w:hAnsi="新細明體" w:cs="新細明體"/>
          <w:b/>
          <w:sz w:val="24"/>
          <w:szCs w:val="24"/>
        </w:rPr>
        <w:t>公倍數</w:t>
      </w:r>
      <w:r w:rsidRPr="00464B0A">
        <w:rPr>
          <w:rFonts w:ascii="新細明體" w:eastAsia="新細明體" w:hAnsi="新細明體" w:cs="新細明體"/>
          <w:b/>
          <w:sz w:val="24"/>
          <w:szCs w:val="24"/>
        </w:rPr>
        <w:t xml:space="preserve"> </w:t>
      </w:r>
      <w:bookmarkStart w:id="0" w:name="_GoBack"/>
      <w:r w:rsidRPr="00464B0A">
        <w:rPr>
          <w:rFonts w:ascii="新細明體" w:eastAsia="新細明體" w:hAnsi="新細明體"/>
          <w:b/>
          <w:sz w:val="24"/>
          <w:szCs w:val="24"/>
        </w:rPr>
        <w:t>工作紙</w:t>
      </w:r>
      <w:bookmarkEnd w:id="0"/>
      <w:r w:rsidRPr="00464B0A">
        <w:rPr>
          <w:rFonts w:ascii="新細明體" w:eastAsia="新細明體" w:hAnsi="新細明體" w:cs="新細明體"/>
          <w:b/>
          <w:sz w:val="24"/>
          <w:szCs w:val="24"/>
        </w:rPr>
        <w:t>》</w:t>
      </w:r>
      <w:r w:rsidR="008473D7" w:rsidRPr="000A11FA">
        <w:rPr>
          <w:rFonts w:ascii="新細明體" w:eastAsia="新細明體" w:hAnsi="新細明體"/>
          <w:sz w:val="24"/>
          <w:szCs w:val="24"/>
        </w:rPr>
        <w:t>提供不同數字的以供學生練習，主要是以列舉法為練習重㸃，已經脫離具體情境，但老師可按學生的情況而考慮再次引導學生將</w:t>
      </w:r>
      <w:r w:rsidR="00DA236C">
        <w:rPr>
          <w:rFonts w:ascii="新細明體" w:eastAsia="新細明體" w:hAnsi="新細明體"/>
          <w:sz w:val="24"/>
          <w:szCs w:val="24"/>
        </w:rPr>
        <w:t>純</w:t>
      </w:r>
      <w:r w:rsidR="008473D7" w:rsidRPr="000A11FA">
        <w:rPr>
          <w:rFonts w:ascii="新細明體" w:eastAsia="新細明體" w:hAnsi="新細明體"/>
          <w:sz w:val="24"/>
          <w:szCs w:val="24"/>
        </w:rPr>
        <w:t>粹數字的例子作一些解說。</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lastRenderedPageBreak/>
        <w:t>本教材附設</w:t>
      </w:r>
      <w:r w:rsidR="00464B0A" w:rsidRPr="00464B0A">
        <w:rPr>
          <w:rFonts w:ascii="新細明體" w:eastAsia="新細明體" w:hAnsi="新細明體" w:cs="新細明體"/>
          <w:b/>
          <w:sz w:val="24"/>
          <w:szCs w:val="24"/>
        </w:rPr>
        <w:t>《</w:t>
      </w:r>
      <w:r w:rsidR="00464B0A">
        <w:rPr>
          <w:rFonts w:ascii="新細明體" w:eastAsia="新細明體" w:hAnsi="新細明體" w:cs="新細明體"/>
          <w:b/>
          <w:sz w:val="24"/>
          <w:szCs w:val="24"/>
        </w:rPr>
        <w:t>公倍數</w:t>
      </w:r>
      <w:r w:rsidR="00464B0A">
        <w:rPr>
          <w:rFonts w:ascii="新細明體" w:eastAsia="新細明體" w:hAnsi="新細明體" w:cs="新細明體"/>
          <w:b/>
          <w:sz w:val="24"/>
          <w:szCs w:val="24"/>
        </w:rPr>
        <w:t xml:space="preserve"> (</w:t>
      </w:r>
      <w:r w:rsidR="00464B0A" w:rsidRPr="00464B0A">
        <w:rPr>
          <w:rFonts w:ascii="新細明體" w:eastAsia="新細明體" w:hAnsi="新細明體"/>
          <w:b/>
          <w:sz w:val="24"/>
          <w:szCs w:val="24"/>
          <w:lang w:val="de-DE"/>
        </w:rPr>
        <w:t>GeoGebra</w:t>
      </w:r>
      <w:r w:rsidR="00464B0A" w:rsidRPr="00464B0A">
        <w:rPr>
          <w:rFonts w:ascii="新細明體" w:eastAsia="新細明體" w:hAnsi="新細明體"/>
          <w:b/>
          <w:sz w:val="24"/>
          <w:szCs w:val="24"/>
        </w:rPr>
        <w:t>檔</w:t>
      </w:r>
      <w:r w:rsidR="00464B0A" w:rsidRPr="00464B0A">
        <w:rPr>
          <w:rFonts w:ascii="新細明體" w:eastAsia="新細明體" w:hAnsi="新細明體"/>
          <w:b/>
          <w:sz w:val="24"/>
          <w:szCs w:val="24"/>
        </w:rPr>
        <w:t>)</w:t>
      </w:r>
      <w:r w:rsidR="00464B0A" w:rsidRPr="00464B0A">
        <w:rPr>
          <w:rFonts w:ascii="新細明體" w:eastAsia="新細明體" w:hAnsi="新細明體" w:cs="新細明體"/>
          <w:b/>
          <w:sz w:val="24"/>
          <w:szCs w:val="24"/>
        </w:rPr>
        <w:t>》</w:t>
      </w:r>
      <w:r w:rsidRPr="000A11FA">
        <w:rPr>
          <w:rFonts w:ascii="新細明體" w:eastAsia="新細明體" w:hAnsi="新細明體"/>
          <w:sz w:val="24"/>
          <w:szCs w:val="24"/>
        </w:rPr>
        <w:t>，可供老師在講解的中段或後段使用，更靈活地改變長度作例子或反覆比較相關的長度。</w:t>
      </w:r>
    </w:p>
    <w:p w:rsidR="00C84488" w:rsidRPr="000A11FA" w:rsidRDefault="008473D7" w:rsidP="000307F3">
      <w:pPr>
        <w:pStyle w:val="Default"/>
        <w:numPr>
          <w:ilvl w:val="1"/>
          <w:numId w:val="3"/>
        </w:numPr>
        <w:spacing w:afterLines="50" w:after="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老師亦可考慮使用提供的</w:t>
      </w:r>
      <w:r w:rsidRPr="000A11FA">
        <w:rPr>
          <w:rFonts w:ascii="新細明體" w:eastAsia="新細明體" w:hAnsi="新細明體"/>
          <w:sz w:val="24"/>
          <w:szCs w:val="24"/>
          <w:lang w:val="de-DE"/>
        </w:rPr>
        <w:t>GeoGebra</w:t>
      </w:r>
      <w:proofErr w:type="gramStart"/>
      <w:r w:rsidRPr="000A11FA">
        <w:rPr>
          <w:rFonts w:ascii="新細明體" w:eastAsia="新細明體" w:hAnsi="新細明體"/>
          <w:sz w:val="24"/>
          <w:szCs w:val="24"/>
        </w:rPr>
        <w:t>檔於課前</w:t>
      </w:r>
      <w:proofErr w:type="gramEnd"/>
      <w:r w:rsidRPr="000A11FA">
        <w:rPr>
          <w:rFonts w:ascii="新細明體" w:eastAsia="新細明體" w:hAnsi="新細明體"/>
          <w:sz w:val="24"/>
          <w:szCs w:val="24"/>
        </w:rPr>
        <w:t>設計一系列的例子，化成圖像之後加入</w:t>
      </w:r>
      <w:r w:rsidRPr="000A11FA">
        <w:rPr>
          <w:rFonts w:ascii="新細明體" w:eastAsia="新細明體" w:hAnsi="新細明體"/>
          <w:sz w:val="24"/>
          <w:szCs w:val="24"/>
          <w:lang w:val="en-US"/>
        </w:rPr>
        <w:t>PowerPoint</w:t>
      </w:r>
      <w:r w:rsidRPr="000A11FA">
        <w:rPr>
          <w:rFonts w:ascii="新細明體" w:eastAsia="新細明體" w:hAnsi="新細明體"/>
          <w:sz w:val="24"/>
          <w:szCs w:val="24"/>
        </w:rPr>
        <w:t>內使用。</w:t>
      </w:r>
    </w:p>
    <w:p w:rsidR="00C84488" w:rsidRPr="000A11FA" w:rsidRDefault="008473D7" w:rsidP="000A11FA">
      <w:pPr>
        <w:pStyle w:val="Default"/>
        <w:numPr>
          <w:ilvl w:val="1"/>
          <w:numId w:val="7"/>
        </w:numPr>
        <w:ind w:left="540" w:hanging="540"/>
        <w:rPr>
          <w:rFonts w:ascii="新細明體" w:eastAsia="新細明體" w:hAnsi="新細明體" w:cs="Helvetica" w:hint="default"/>
          <w:sz w:val="24"/>
          <w:szCs w:val="24"/>
        </w:rPr>
      </w:pPr>
      <w:r w:rsidRPr="000A11FA">
        <w:rPr>
          <w:rFonts w:ascii="新細明體" w:eastAsia="新細明體" w:hAnsi="新細明體"/>
          <w:sz w:val="24"/>
          <w:szCs w:val="24"/>
          <w:lang w:val="de-DE"/>
        </w:rPr>
        <w:t>GeoGebra</w:t>
      </w:r>
      <w:r w:rsidRPr="000A11FA">
        <w:rPr>
          <w:rFonts w:ascii="新細明體" w:eastAsia="新細明體" w:hAnsi="新細明體"/>
          <w:sz w:val="24"/>
          <w:szCs w:val="24"/>
        </w:rPr>
        <w:t>檔內只用簡化的圖像（例如只有簡單的長方形），以便老師配合不同的情境，但同樣強調長度的比較。</w:t>
      </w:r>
    </w:p>
    <w:p w:rsidR="00C84488" w:rsidRPr="000A11FA" w:rsidRDefault="00C84488">
      <w:pPr>
        <w:pStyle w:val="Default"/>
        <w:rPr>
          <w:rFonts w:ascii="新細明體" w:eastAsia="新細明體" w:hAnsi="新細明體" w:cs="Helvetica" w:hint="default"/>
          <w:sz w:val="24"/>
          <w:szCs w:val="24"/>
        </w:rPr>
      </w:pPr>
    </w:p>
    <w:p w:rsidR="00C84488" w:rsidRPr="000A11FA" w:rsidRDefault="00C84488">
      <w:pPr>
        <w:pStyle w:val="Default"/>
        <w:rPr>
          <w:rFonts w:ascii="新細明體" w:eastAsia="新細明體" w:hAnsi="新細明體" w:cs="Helvetica" w:hint="default"/>
          <w:sz w:val="24"/>
          <w:szCs w:val="24"/>
        </w:rPr>
      </w:pPr>
    </w:p>
    <w:p w:rsidR="00C84488" w:rsidRPr="000A11FA" w:rsidRDefault="008473D7">
      <w:pPr>
        <w:pStyle w:val="Default"/>
        <w:rPr>
          <w:rFonts w:ascii="新細明體" w:eastAsia="新細明體" w:hAnsi="新細明體" w:cs="Helvetica" w:hint="default"/>
          <w:b/>
          <w:sz w:val="24"/>
          <w:szCs w:val="24"/>
        </w:rPr>
      </w:pPr>
      <w:r w:rsidRPr="000A11FA">
        <w:rPr>
          <w:rFonts w:ascii="新細明體" w:eastAsia="新細明體" w:hAnsi="新細明體"/>
          <w:b/>
          <w:sz w:val="24"/>
          <w:szCs w:val="24"/>
        </w:rPr>
        <w:t>公因數和最大公因數</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學生應有因數的知識。本課重點是介紹公因數和最大公因數的基本概念。</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本課設計</w:t>
      </w:r>
      <w:r w:rsidR="000A11FA" w:rsidRPr="000A11FA">
        <w:rPr>
          <w:rFonts w:ascii="新細明體" w:eastAsia="新細明體" w:hAnsi="新細明體"/>
          <w:sz w:val="24"/>
          <w:szCs w:val="24"/>
        </w:rPr>
        <w:t>利用特定情境（數學模型）以建立公因數的概念。實際課堂教學可以</w:t>
      </w:r>
      <w:r w:rsidR="00F71C13">
        <w:rPr>
          <w:rFonts w:ascii="新細明體" w:eastAsia="新細明體" w:hAnsi="新細明體"/>
          <w:sz w:val="24"/>
          <w:szCs w:val="24"/>
        </w:rPr>
        <w:t>是</w:t>
      </w:r>
      <w:r w:rsidR="000A11FA" w:rsidRPr="000A11FA">
        <w:rPr>
          <w:rFonts w:ascii="新細明體" w:eastAsia="新細明體" w:hAnsi="新細明體"/>
          <w:sz w:val="24"/>
          <w:szCs w:val="24"/>
        </w:rPr>
        <w:t>通過</w:t>
      </w:r>
      <w:r w:rsidR="00F71C13" w:rsidRPr="00464B0A">
        <w:rPr>
          <w:rFonts w:ascii="新細明體" w:eastAsia="新細明體" w:hAnsi="新細明體" w:cs="新細明體"/>
          <w:b/>
          <w:sz w:val="24"/>
          <w:szCs w:val="24"/>
        </w:rPr>
        <w:t>《</w:t>
      </w:r>
      <w:r w:rsidR="00F71C13">
        <w:rPr>
          <w:rFonts w:ascii="新細明體" w:eastAsia="新細明體" w:hAnsi="新細明體" w:cs="新細明體"/>
          <w:b/>
          <w:sz w:val="24"/>
          <w:szCs w:val="24"/>
        </w:rPr>
        <w:t>公</w:t>
      </w:r>
      <w:r w:rsidR="00F71C13">
        <w:rPr>
          <w:rFonts w:ascii="新細明體" w:eastAsia="新細明體" w:hAnsi="新細明體" w:cs="新細明體"/>
          <w:b/>
          <w:sz w:val="24"/>
          <w:szCs w:val="24"/>
        </w:rPr>
        <w:t>因</w:t>
      </w:r>
      <w:r w:rsidR="00F71C13">
        <w:rPr>
          <w:rFonts w:ascii="新細明體" w:eastAsia="新細明體" w:hAnsi="新細明體" w:cs="新細明體"/>
          <w:b/>
          <w:sz w:val="24"/>
          <w:szCs w:val="24"/>
        </w:rPr>
        <w:t>數(</w:t>
      </w:r>
      <w:r w:rsidR="00F71C13">
        <w:rPr>
          <w:rFonts w:ascii="新細明體" w:eastAsia="新細明體" w:hAnsi="新細明體" w:cs="新細明體"/>
          <w:b/>
          <w:sz w:val="24"/>
          <w:szCs w:val="24"/>
        </w:rPr>
        <w:t>圍欄</w:t>
      </w:r>
      <w:r w:rsidR="00F71C13">
        <w:rPr>
          <w:rFonts w:ascii="新細明體" w:eastAsia="新細明體" w:hAnsi="新細明體" w:cs="新細明體"/>
          <w:b/>
          <w:sz w:val="24"/>
          <w:szCs w:val="24"/>
        </w:rPr>
        <w:t>) 簡報</w:t>
      </w:r>
      <w:r w:rsidR="00F71C13" w:rsidRPr="00464B0A">
        <w:rPr>
          <w:rFonts w:ascii="新細明體" w:eastAsia="新細明體" w:hAnsi="新細明體" w:cs="新細明體"/>
          <w:b/>
          <w:sz w:val="24"/>
          <w:szCs w:val="24"/>
        </w:rPr>
        <w:t>》</w:t>
      </w:r>
      <w:r w:rsidR="000A11FA" w:rsidRPr="000A11FA">
        <w:rPr>
          <w:rFonts w:ascii="新細明體" w:eastAsia="新細明體" w:hAnsi="新細明體"/>
          <w:sz w:val="24"/>
          <w:szCs w:val="24"/>
        </w:rPr>
        <w:t>和學生討論，引領學生明白公因數和最大公因數的具體意義。</w:t>
      </w:r>
      <w:r w:rsidRPr="000A11FA">
        <w:rPr>
          <w:rFonts w:ascii="新細明體" w:eastAsia="新細明體" w:hAnsi="新細明體"/>
          <w:sz w:val="24"/>
          <w:szCs w:val="24"/>
        </w:rPr>
        <w:t>對於因數和公因數的理解，學生可能需要較長時間或從不同角度理解。</w:t>
      </w:r>
    </w:p>
    <w:p w:rsidR="00C84488" w:rsidRPr="000A11FA" w:rsidRDefault="00F71C13" w:rsidP="00F71C1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F71C13">
        <w:rPr>
          <w:rFonts w:ascii="新細明體" w:eastAsia="新細明體" w:hAnsi="新細明體" w:cs="新細明體"/>
          <w:sz w:val="24"/>
          <w:szCs w:val="24"/>
        </w:rPr>
        <w:t>簡報</w:t>
      </w:r>
      <w:r w:rsidR="008473D7" w:rsidRPr="000A11FA">
        <w:rPr>
          <w:rFonts w:ascii="新細明體" w:eastAsia="新細明體" w:hAnsi="新細明體"/>
          <w:sz w:val="24"/>
          <w:szCs w:val="24"/>
        </w:rPr>
        <w:t>的主要情境是找出合適長度的草地圍欄。重點是長度的比較。</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學生先探討一邊</w:t>
      </w:r>
      <w:r w:rsidR="00464B0A" w:rsidRPr="000A11FA">
        <w:rPr>
          <w:rFonts w:ascii="新細明體" w:eastAsia="新細明體" w:hAnsi="新細明體"/>
          <w:sz w:val="24"/>
          <w:szCs w:val="24"/>
        </w:rPr>
        <w:t>草地</w:t>
      </w:r>
      <w:r w:rsidRPr="000A11FA">
        <w:rPr>
          <w:rFonts w:ascii="新細明體" w:eastAsia="新細明體" w:hAnsi="新細明體"/>
          <w:sz w:val="24"/>
          <w:szCs w:val="24"/>
        </w:rPr>
        <w:t>的長度和</w:t>
      </w:r>
      <w:proofErr w:type="gramStart"/>
      <w:r w:rsidRPr="000A11FA">
        <w:rPr>
          <w:rFonts w:ascii="新細明體" w:eastAsia="新細明體" w:hAnsi="新細明體"/>
          <w:sz w:val="24"/>
          <w:szCs w:val="24"/>
        </w:rPr>
        <w:t>可</w:t>
      </w:r>
      <w:proofErr w:type="gramEnd"/>
      <w:r w:rsidRPr="000A11FA">
        <w:rPr>
          <w:rFonts w:ascii="新細明體" w:eastAsia="新細明體" w:hAnsi="新細明體"/>
          <w:sz w:val="24"/>
          <w:szCs w:val="24"/>
        </w:rPr>
        <w:t>配搭的</w:t>
      </w:r>
      <w:r w:rsidR="00464B0A" w:rsidRPr="000A11FA">
        <w:rPr>
          <w:rFonts w:ascii="新細明體" w:eastAsia="新細明體" w:hAnsi="新細明體"/>
          <w:sz w:val="24"/>
          <w:szCs w:val="24"/>
        </w:rPr>
        <w:t>圍欄</w:t>
      </w:r>
      <w:r w:rsidRPr="000A11FA">
        <w:rPr>
          <w:rFonts w:ascii="新細明體" w:eastAsia="新細明體" w:hAnsi="新細明體"/>
          <w:sz w:val="24"/>
          <w:szCs w:val="24"/>
        </w:rPr>
        <w:t>，從而判斷</w:t>
      </w:r>
      <w:proofErr w:type="gramStart"/>
      <w:r w:rsidRPr="000A11FA">
        <w:rPr>
          <w:rFonts w:ascii="新細明體" w:eastAsia="新細明體" w:hAnsi="新細明體"/>
          <w:sz w:val="24"/>
          <w:szCs w:val="24"/>
        </w:rPr>
        <w:t>一</w:t>
      </w:r>
      <w:proofErr w:type="gramEnd"/>
      <w:r w:rsidRPr="000A11FA">
        <w:rPr>
          <w:rFonts w:ascii="新細明體" w:eastAsia="新細明體" w:hAnsi="新細明體"/>
          <w:sz w:val="24"/>
          <w:szCs w:val="24"/>
        </w:rPr>
        <w:t>個數的因數。透過觀察圖像，學生應該從剩餘的縫隙間</w:t>
      </w:r>
      <w:r w:rsidR="0042390D" w:rsidRPr="000A11FA">
        <w:rPr>
          <w:rFonts w:ascii="新細明體" w:eastAsia="新細明體" w:hAnsi="新細明體"/>
          <w:sz w:val="24"/>
          <w:szCs w:val="24"/>
        </w:rPr>
        <w:t>（</w:t>
      </w:r>
      <w:r w:rsidRPr="000A11FA">
        <w:rPr>
          <w:rFonts w:ascii="新細明體" w:eastAsia="新細明體" w:hAnsi="新細明體"/>
          <w:sz w:val="24"/>
          <w:szCs w:val="24"/>
        </w:rPr>
        <w:t>餘數</w:t>
      </w:r>
      <w:r w:rsidR="0042390D" w:rsidRPr="000A11FA">
        <w:rPr>
          <w:rFonts w:ascii="新細明體" w:eastAsia="新細明體" w:hAnsi="新細明體"/>
          <w:sz w:val="24"/>
          <w:szCs w:val="24"/>
        </w:rPr>
        <w:t>）</w:t>
      </w:r>
      <w:r w:rsidRPr="000A11FA">
        <w:rPr>
          <w:rFonts w:ascii="新細明體" w:eastAsia="新細明體" w:hAnsi="新細明體"/>
          <w:sz w:val="24"/>
          <w:szCs w:val="24"/>
        </w:rPr>
        <w:t>了解因數和非因數的分別。</w:t>
      </w:r>
    </w:p>
    <w:p w:rsidR="00C84488" w:rsidRPr="000A11FA" w:rsidRDefault="00464B0A"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草地</w:t>
      </w:r>
      <w:r w:rsidR="008473D7" w:rsidRPr="000A11FA">
        <w:rPr>
          <w:rFonts w:ascii="新細明體" w:eastAsia="新細明體" w:hAnsi="新細明體"/>
          <w:sz w:val="24"/>
          <w:szCs w:val="24"/>
        </w:rPr>
        <w:t>的另一長度可提供多一個例子讓學生分辨</w:t>
      </w:r>
      <w:proofErr w:type="gramStart"/>
      <w:r w:rsidR="008473D7" w:rsidRPr="000A11FA">
        <w:rPr>
          <w:rFonts w:ascii="新細明體" w:eastAsia="新細明體" w:hAnsi="新細明體"/>
          <w:sz w:val="24"/>
          <w:szCs w:val="24"/>
        </w:rPr>
        <w:t>一</w:t>
      </w:r>
      <w:proofErr w:type="gramEnd"/>
      <w:r w:rsidR="008473D7" w:rsidRPr="000A11FA">
        <w:rPr>
          <w:rFonts w:ascii="新細明體" w:eastAsia="新細明體" w:hAnsi="新細明體"/>
          <w:sz w:val="24"/>
          <w:szCs w:val="24"/>
        </w:rPr>
        <w:t>個數的因數和非因數。</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下一步，學生同時考慮</w:t>
      </w:r>
      <w:r w:rsidR="00464B0A" w:rsidRPr="000A11FA">
        <w:rPr>
          <w:rFonts w:ascii="新細明體" w:eastAsia="新細明體" w:hAnsi="新細明體"/>
          <w:sz w:val="24"/>
          <w:szCs w:val="24"/>
        </w:rPr>
        <w:t>草地</w:t>
      </w:r>
      <w:r w:rsidRPr="000A11FA">
        <w:rPr>
          <w:rFonts w:ascii="新細明體" w:eastAsia="新細明體" w:hAnsi="新細明體"/>
          <w:sz w:val="24"/>
          <w:szCs w:val="24"/>
        </w:rPr>
        <w:t>兩邊長度，找出兩邊都可用的</w:t>
      </w:r>
      <w:r w:rsidR="00464B0A" w:rsidRPr="000A11FA">
        <w:rPr>
          <w:rFonts w:ascii="新細明體" w:eastAsia="新細明體" w:hAnsi="新細明體"/>
          <w:sz w:val="24"/>
          <w:szCs w:val="24"/>
        </w:rPr>
        <w:t>圍欄</w:t>
      </w:r>
      <w:r w:rsidRPr="000A11FA">
        <w:rPr>
          <w:rFonts w:ascii="新細明體" w:eastAsia="新細明體" w:hAnsi="新細明體"/>
          <w:sz w:val="24"/>
          <w:szCs w:val="24"/>
        </w:rPr>
        <w:t>長度</w:t>
      </w:r>
      <w:r w:rsidR="0042390D" w:rsidRPr="000A11FA">
        <w:rPr>
          <w:rFonts w:ascii="新細明體" w:eastAsia="新細明體" w:hAnsi="新細明體"/>
          <w:sz w:val="24"/>
          <w:szCs w:val="24"/>
        </w:rPr>
        <w:t>（</w:t>
      </w:r>
      <w:r w:rsidRPr="000A11FA">
        <w:rPr>
          <w:rFonts w:ascii="新細明體" w:eastAsia="新細明體" w:hAnsi="新細明體"/>
          <w:sz w:val="24"/>
          <w:szCs w:val="24"/>
        </w:rPr>
        <w:t>公因數</w:t>
      </w:r>
      <w:r w:rsidR="0042390D" w:rsidRPr="000A11FA">
        <w:rPr>
          <w:rFonts w:ascii="新細明體" w:eastAsia="新細明體" w:hAnsi="新細明體"/>
          <w:sz w:val="24"/>
          <w:szCs w:val="24"/>
        </w:rPr>
        <w:t>）</w:t>
      </w:r>
      <w:r w:rsidRPr="000A11FA">
        <w:rPr>
          <w:rFonts w:ascii="新細明體" w:eastAsia="新細明體" w:hAnsi="新細明體"/>
          <w:sz w:val="24"/>
          <w:szCs w:val="24"/>
        </w:rPr>
        <w:t>。</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最後學生判斷</w:t>
      </w:r>
      <w:proofErr w:type="gramStart"/>
      <w:r w:rsidRPr="000A11FA">
        <w:rPr>
          <w:rFonts w:ascii="新細明體" w:eastAsia="新細明體" w:hAnsi="新細明體"/>
          <w:sz w:val="24"/>
          <w:szCs w:val="24"/>
        </w:rPr>
        <w:t>可用</w:t>
      </w:r>
      <w:r w:rsidR="00464B0A" w:rsidRPr="000A11FA">
        <w:rPr>
          <w:rFonts w:ascii="新細明體" w:eastAsia="新細明體" w:hAnsi="新細明體"/>
          <w:sz w:val="24"/>
          <w:szCs w:val="24"/>
        </w:rPr>
        <w:t>圍欄</w:t>
      </w:r>
      <w:proofErr w:type="gramEnd"/>
      <w:r w:rsidRPr="000A11FA">
        <w:rPr>
          <w:rFonts w:ascii="新細明體" w:eastAsia="新細明體" w:hAnsi="新細明體"/>
          <w:sz w:val="24"/>
          <w:szCs w:val="24"/>
        </w:rPr>
        <w:t>之中最長的一款。</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這時候可初步介紹名詞「公因數」和「最大公因數」。然而學生可能需要多一點不同長度作例子以逐漸了解這些名詞的意義。</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本教材附設</w:t>
      </w:r>
      <w:r w:rsidR="00F71C13" w:rsidRPr="00464B0A">
        <w:rPr>
          <w:rFonts w:ascii="新細明體" w:eastAsia="新細明體" w:hAnsi="新細明體" w:cs="新細明體"/>
          <w:b/>
          <w:sz w:val="24"/>
          <w:szCs w:val="24"/>
        </w:rPr>
        <w:t>《</w:t>
      </w:r>
      <w:r w:rsidR="00F71C13">
        <w:rPr>
          <w:rFonts w:ascii="新細明體" w:eastAsia="新細明體" w:hAnsi="新細明體" w:cs="新細明體"/>
          <w:b/>
          <w:sz w:val="24"/>
          <w:szCs w:val="24"/>
        </w:rPr>
        <w:t>公</w:t>
      </w:r>
      <w:r w:rsidR="00F71C13">
        <w:rPr>
          <w:rFonts w:ascii="新細明體" w:eastAsia="新細明體" w:hAnsi="新細明體" w:cs="新細明體"/>
          <w:b/>
          <w:sz w:val="24"/>
          <w:szCs w:val="24"/>
        </w:rPr>
        <w:t>因</w:t>
      </w:r>
      <w:r w:rsidR="00F71C13">
        <w:rPr>
          <w:rFonts w:ascii="新細明體" w:eastAsia="新細明體" w:hAnsi="新細明體" w:cs="新細明體"/>
          <w:b/>
          <w:sz w:val="24"/>
          <w:szCs w:val="24"/>
        </w:rPr>
        <w:t>數 (</w:t>
      </w:r>
      <w:r w:rsidR="00F71C13" w:rsidRPr="00464B0A">
        <w:rPr>
          <w:rFonts w:ascii="新細明體" w:eastAsia="新細明體" w:hAnsi="新細明體"/>
          <w:b/>
          <w:sz w:val="24"/>
          <w:szCs w:val="24"/>
          <w:lang w:val="de-DE"/>
        </w:rPr>
        <w:t>GeoGebra</w:t>
      </w:r>
      <w:r w:rsidR="00F71C13" w:rsidRPr="00464B0A">
        <w:rPr>
          <w:rFonts w:ascii="新細明體" w:eastAsia="新細明體" w:hAnsi="新細明體"/>
          <w:b/>
          <w:sz w:val="24"/>
          <w:szCs w:val="24"/>
        </w:rPr>
        <w:t>檔)</w:t>
      </w:r>
      <w:r w:rsidR="00F71C13" w:rsidRPr="00464B0A">
        <w:rPr>
          <w:rFonts w:ascii="新細明體" w:eastAsia="新細明體" w:hAnsi="新細明體" w:cs="新細明體"/>
          <w:b/>
          <w:sz w:val="24"/>
          <w:szCs w:val="24"/>
        </w:rPr>
        <w:t>》</w:t>
      </w:r>
      <w:r w:rsidRPr="000A11FA">
        <w:rPr>
          <w:rFonts w:ascii="新細明體" w:eastAsia="新細明體" w:hAnsi="新細明體"/>
          <w:sz w:val="24"/>
          <w:szCs w:val="24"/>
        </w:rPr>
        <w:t>，可供老師在講解的中段或後段使用，更靈活地改變長度作例子或反覆比較相關的長度。</w:t>
      </w:r>
    </w:p>
    <w:p w:rsidR="00C84488" w:rsidRPr="000A11FA" w:rsidRDefault="008473D7" w:rsidP="000307F3">
      <w:pPr>
        <w:pStyle w:val="Default"/>
        <w:numPr>
          <w:ilvl w:val="1"/>
          <w:numId w:val="5"/>
        </w:numPr>
        <w:spacing w:beforeLines="50" w:before="120"/>
        <w:ind w:left="540" w:hangingChars="225" w:hanging="540"/>
        <w:rPr>
          <w:rFonts w:ascii="新細明體" w:eastAsia="新細明體" w:hAnsi="新細明體" w:cs="Helvetica" w:hint="default"/>
          <w:sz w:val="24"/>
          <w:szCs w:val="24"/>
        </w:rPr>
      </w:pPr>
      <w:r w:rsidRPr="000A11FA">
        <w:rPr>
          <w:rFonts w:ascii="新細明體" w:eastAsia="新細明體" w:hAnsi="新細明體"/>
          <w:sz w:val="24"/>
          <w:szCs w:val="24"/>
        </w:rPr>
        <w:t>老師亦可考慮使用提供的</w:t>
      </w:r>
      <w:r w:rsidRPr="000A11FA">
        <w:rPr>
          <w:rFonts w:ascii="新細明體" w:eastAsia="新細明體" w:hAnsi="新細明體"/>
          <w:sz w:val="24"/>
          <w:szCs w:val="24"/>
          <w:lang w:val="de-DE"/>
        </w:rPr>
        <w:t>GeoGebra</w:t>
      </w:r>
      <w:r w:rsidRPr="000A11FA">
        <w:rPr>
          <w:rFonts w:ascii="新細明體" w:eastAsia="新細明體" w:hAnsi="新細明體"/>
          <w:sz w:val="24"/>
          <w:szCs w:val="24"/>
        </w:rPr>
        <w:t>檔於課前設計一系列的例子，化成圖像之後加入</w:t>
      </w:r>
      <w:r w:rsidRPr="000A11FA">
        <w:rPr>
          <w:rFonts w:ascii="新細明體" w:eastAsia="新細明體" w:hAnsi="新細明體"/>
          <w:sz w:val="24"/>
          <w:szCs w:val="24"/>
          <w:lang w:val="en-US"/>
        </w:rPr>
        <w:t>PowerPoint</w:t>
      </w:r>
      <w:r w:rsidRPr="000A11FA">
        <w:rPr>
          <w:rFonts w:ascii="新細明體" w:eastAsia="新細明體" w:hAnsi="新細明體"/>
          <w:sz w:val="24"/>
          <w:szCs w:val="24"/>
        </w:rPr>
        <w:t>內使用。</w:t>
      </w:r>
    </w:p>
    <w:p w:rsidR="00C84488" w:rsidRPr="000A11FA" w:rsidRDefault="008473D7" w:rsidP="000A11FA">
      <w:pPr>
        <w:pStyle w:val="Default"/>
        <w:numPr>
          <w:ilvl w:val="1"/>
          <w:numId w:val="5"/>
        </w:numPr>
        <w:ind w:left="540" w:hanging="540"/>
        <w:rPr>
          <w:rFonts w:ascii="新細明體" w:eastAsia="新細明體" w:hAnsi="新細明體" w:cs="Helvetica" w:hint="default"/>
          <w:sz w:val="24"/>
          <w:szCs w:val="24"/>
        </w:rPr>
      </w:pPr>
      <w:r w:rsidRPr="000A11FA">
        <w:rPr>
          <w:rFonts w:ascii="新細明體" w:eastAsia="新細明體" w:hAnsi="新細明體"/>
          <w:sz w:val="24"/>
          <w:szCs w:val="24"/>
          <w:lang w:val="de-DE"/>
        </w:rPr>
        <w:t>GeoGebra</w:t>
      </w:r>
      <w:r w:rsidRPr="000A11FA">
        <w:rPr>
          <w:rFonts w:ascii="新細明體" w:eastAsia="新細明體" w:hAnsi="新細明體"/>
          <w:sz w:val="24"/>
          <w:szCs w:val="24"/>
        </w:rPr>
        <w:t>檔內只用簡化的圖像</w:t>
      </w:r>
      <w:r w:rsidR="0042390D" w:rsidRPr="000A11FA">
        <w:rPr>
          <w:rFonts w:ascii="新細明體" w:eastAsia="新細明體" w:hAnsi="新細明體"/>
          <w:sz w:val="24"/>
          <w:szCs w:val="24"/>
        </w:rPr>
        <w:t>（</w:t>
      </w:r>
      <w:r w:rsidRPr="000A11FA">
        <w:rPr>
          <w:rFonts w:ascii="新細明體" w:eastAsia="新細明體" w:hAnsi="新細明體"/>
          <w:sz w:val="24"/>
          <w:szCs w:val="24"/>
        </w:rPr>
        <w:t>例如只有簡單的長方形</w:t>
      </w:r>
      <w:r w:rsidR="0042390D" w:rsidRPr="000A11FA">
        <w:rPr>
          <w:rFonts w:ascii="新細明體" w:eastAsia="新細明體" w:hAnsi="新細明體"/>
          <w:sz w:val="24"/>
          <w:szCs w:val="24"/>
        </w:rPr>
        <w:t>）</w:t>
      </w:r>
      <w:r w:rsidRPr="000A11FA">
        <w:rPr>
          <w:rFonts w:ascii="新細明體" w:eastAsia="新細明體" w:hAnsi="新細明體"/>
          <w:sz w:val="24"/>
          <w:szCs w:val="24"/>
        </w:rPr>
        <w:t>，以便老師配合不同的情境，但同樣強調長度的比較。</w:t>
      </w:r>
    </w:p>
    <w:p w:rsidR="00C84488" w:rsidRPr="000A11FA" w:rsidRDefault="00C84488">
      <w:pPr>
        <w:pStyle w:val="Default"/>
        <w:rPr>
          <w:rFonts w:ascii="新細明體" w:eastAsia="新細明體" w:hAnsi="新細明體" w:hint="default"/>
          <w:sz w:val="24"/>
          <w:szCs w:val="24"/>
        </w:rPr>
      </w:pPr>
    </w:p>
    <w:sectPr w:rsidR="00C84488" w:rsidRPr="000A11FA" w:rsidSect="000A11FA">
      <w:pgSz w:w="11906" w:h="16838" w:code="9"/>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38" w:rsidRDefault="00370738">
      <w:r>
        <w:separator/>
      </w:r>
    </w:p>
  </w:endnote>
  <w:endnote w:type="continuationSeparator" w:id="0">
    <w:p w:rsidR="00370738" w:rsidRDefault="0037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38" w:rsidRDefault="00370738">
      <w:r>
        <w:separator/>
      </w:r>
    </w:p>
  </w:footnote>
  <w:footnote w:type="continuationSeparator" w:id="0">
    <w:p w:rsidR="00370738" w:rsidRDefault="0037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077"/>
    <w:multiLevelType w:val="hybridMultilevel"/>
    <w:tmpl w:val="06CC22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45A7D"/>
    <w:multiLevelType w:val="hybridMultilevel"/>
    <w:tmpl w:val="6FEAFF84"/>
    <w:lvl w:ilvl="0" w:tplc="04090001">
      <w:start w:val="1"/>
      <w:numFmt w:val="bullet"/>
      <w:lvlText w:val=""/>
      <w:lvlJc w:val="left"/>
      <w:pPr>
        <w:ind w:left="720" w:hanging="360"/>
      </w:pPr>
      <w:rPr>
        <w:rFonts w:ascii="Symbol" w:hAnsi="Symbol" w:hint="default"/>
      </w:rPr>
    </w:lvl>
    <w:lvl w:ilvl="1" w:tplc="01488F6C">
      <w:numFmt w:val="bullet"/>
      <w:lvlText w:val="•"/>
      <w:lvlJc w:val="left"/>
      <w:pPr>
        <w:ind w:left="1980" w:hanging="900"/>
      </w:pPr>
      <w:rPr>
        <w:rFonts w:ascii="新細明體" w:eastAsia="新細明體" w:hAnsi="新細明體" w:cs="PingFang TC Regular"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B623A"/>
    <w:multiLevelType w:val="hybridMultilevel"/>
    <w:tmpl w:val="1C7C1AC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C540507"/>
    <w:multiLevelType w:val="hybridMultilevel"/>
    <w:tmpl w:val="384E5B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F4AC8"/>
    <w:multiLevelType w:val="hybridMultilevel"/>
    <w:tmpl w:val="58CC1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6F4D9F"/>
    <w:multiLevelType w:val="hybridMultilevel"/>
    <w:tmpl w:val="3BD82498"/>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7EDA4181"/>
    <w:multiLevelType w:val="hybridMultilevel"/>
    <w:tmpl w:val="78C2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88"/>
    <w:rsid w:val="000307F3"/>
    <w:rsid w:val="000A11FA"/>
    <w:rsid w:val="001C0053"/>
    <w:rsid w:val="00370738"/>
    <w:rsid w:val="0042390D"/>
    <w:rsid w:val="00464B0A"/>
    <w:rsid w:val="008473D7"/>
    <w:rsid w:val="00C84488"/>
    <w:rsid w:val="00DA236C"/>
    <w:rsid w:val="00E830C9"/>
    <w:rsid w:val="00F71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Default">
    <w:name w:val="Default"/>
    <w:rPr>
      <w:rFonts w:ascii="Arial Unicode MS" w:hAnsi="Arial Unicode MS" w:cs="Arial Unicode MS" w:hint="eastAsia"/>
      <w:color w:val="000000"/>
      <w:sz w:val="22"/>
      <w:szCs w:val="22"/>
      <w:lang w:val="zh-TW"/>
    </w:rPr>
  </w:style>
  <w:style w:type="paragraph" w:styleId="a4">
    <w:name w:val="Balloon Text"/>
    <w:basedOn w:val="a"/>
    <w:link w:val="a5"/>
    <w:uiPriority w:val="99"/>
    <w:semiHidden/>
    <w:unhideWhenUsed/>
    <w:rsid w:val="00DA236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A236C"/>
    <w:rPr>
      <w:rFonts w:asciiTheme="majorHAnsi" w:eastAsiaTheme="majorEastAsia" w:hAnsiTheme="majorHAnsi" w:cstheme="majorBidi"/>
      <w:sz w:val="18"/>
      <w:szCs w:val="18"/>
      <w:lang w:eastAsia="en-US"/>
    </w:rPr>
  </w:style>
  <w:style w:type="paragraph" w:styleId="a6">
    <w:name w:val="header"/>
    <w:basedOn w:val="a"/>
    <w:link w:val="a7"/>
    <w:uiPriority w:val="99"/>
    <w:unhideWhenUsed/>
    <w:rsid w:val="00464B0A"/>
    <w:pPr>
      <w:tabs>
        <w:tab w:val="center" w:pos="4153"/>
        <w:tab w:val="right" w:pos="8306"/>
      </w:tabs>
      <w:snapToGrid w:val="0"/>
    </w:pPr>
    <w:rPr>
      <w:sz w:val="20"/>
      <w:szCs w:val="20"/>
    </w:rPr>
  </w:style>
  <w:style w:type="character" w:customStyle="1" w:styleId="a7">
    <w:name w:val="頁首 字元"/>
    <w:basedOn w:val="a0"/>
    <w:link w:val="a6"/>
    <w:uiPriority w:val="99"/>
    <w:rsid w:val="00464B0A"/>
    <w:rPr>
      <w:lang w:eastAsia="en-US"/>
    </w:rPr>
  </w:style>
  <w:style w:type="paragraph" w:styleId="a8">
    <w:name w:val="footer"/>
    <w:basedOn w:val="a"/>
    <w:link w:val="a9"/>
    <w:uiPriority w:val="99"/>
    <w:unhideWhenUsed/>
    <w:rsid w:val="00464B0A"/>
    <w:pPr>
      <w:tabs>
        <w:tab w:val="center" w:pos="4153"/>
        <w:tab w:val="right" w:pos="8306"/>
      </w:tabs>
      <w:snapToGrid w:val="0"/>
    </w:pPr>
    <w:rPr>
      <w:sz w:val="20"/>
      <w:szCs w:val="20"/>
    </w:rPr>
  </w:style>
  <w:style w:type="character" w:customStyle="1" w:styleId="a9">
    <w:name w:val="頁尾 字元"/>
    <w:basedOn w:val="a0"/>
    <w:link w:val="a8"/>
    <w:uiPriority w:val="99"/>
    <w:rsid w:val="00464B0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Default">
    <w:name w:val="Default"/>
    <w:rPr>
      <w:rFonts w:ascii="Arial Unicode MS" w:hAnsi="Arial Unicode MS" w:cs="Arial Unicode MS" w:hint="eastAsia"/>
      <w:color w:val="000000"/>
      <w:sz w:val="22"/>
      <w:szCs w:val="22"/>
      <w:lang w:val="zh-TW"/>
    </w:rPr>
  </w:style>
  <w:style w:type="paragraph" w:styleId="a4">
    <w:name w:val="Balloon Text"/>
    <w:basedOn w:val="a"/>
    <w:link w:val="a5"/>
    <w:uiPriority w:val="99"/>
    <w:semiHidden/>
    <w:unhideWhenUsed/>
    <w:rsid w:val="00DA236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A236C"/>
    <w:rPr>
      <w:rFonts w:asciiTheme="majorHAnsi" w:eastAsiaTheme="majorEastAsia" w:hAnsiTheme="majorHAnsi" w:cstheme="majorBidi"/>
      <w:sz w:val="18"/>
      <w:szCs w:val="18"/>
      <w:lang w:eastAsia="en-US"/>
    </w:rPr>
  </w:style>
  <w:style w:type="paragraph" w:styleId="a6">
    <w:name w:val="header"/>
    <w:basedOn w:val="a"/>
    <w:link w:val="a7"/>
    <w:uiPriority w:val="99"/>
    <w:unhideWhenUsed/>
    <w:rsid w:val="00464B0A"/>
    <w:pPr>
      <w:tabs>
        <w:tab w:val="center" w:pos="4153"/>
        <w:tab w:val="right" w:pos="8306"/>
      </w:tabs>
      <w:snapToGrid w:val="0"/>
    </w:pPr>
    <w:rPr>
      <w:sz w:val="20"/>
      <w:szCs w:val="20"/>
    </w:rPr>
  </w:style>
  <w:style w:type="character" w:customStyle="1" w:styleId="a7">
    <w:name w:val="頁首 字元"/>
    <w:basedOn w:val="a0"/>
    <w:link w:val="a6"/>
    <w:uiPriority w:val="99"/>
    <w:rsid w:val="00464B0A"/>
    <w:rPr>
      <w:lang w:eastAsia="en-US"/>
    </w:rPr>
  </w:style>
  <w:style w:type="paragraph" w:styleId="a8">
    <w:name w:val="footer"/>
    <w:basedOn w:val="a"/>
    <w:link w:val="a9"/>
    <w:uiPriority w:val="99"/>
    <w:unhideWhenUsed/>
    <w:rsid w:val="00464B0A"/>
    <w:pPr>
      <w:tabs>
        <w:tab w:val="center" w:pos="4153"/>
        <w:tab w:val="right" w:pos="8306"/>
      </w:tabs>
      <w:snapToGrid w:val="0"/>
    </w:pPr>
    <w:rPr>
      <w:sz w:val="20"/>
      <w:szCs w:val="20"/>
    </w:rPr>
  </w:style>
  <w:style w:type="character" w:customStyle="1" w:styleId="a9">
    <w:name w:val="頁尾 字元"/>
    <w:basedOn w:val="a0"/>
    <w:link w:val="a8"/>
    <w:uiPriority w:val="99"/>
    <w:rsid w:val="00464B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Yuen-ying Christina</dc:creator>
  <cp:lastModifiedBy>FONG, Chong-sun Martin</cp:lastModifiedBy>
  <cp:revision>6</cp:revision>
  <cp:lastPrinted>2017-11-01T06:09:00Z</cp:lastPrinted>
  <dcterms:created xsi:type="dcterms:W3CDTF">2017-10-31T09:09:00Z</dcterms:created>
  <dcterms:modified xsi:type="dcterms:W3CDTF">2018-08-03T07:58:00Z</dcterms:modified>
</cp:coreProperties>
</file>